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eastAsia="宋体" w:cs="Arial"/>
          <w:b/>
          <w:sz w:val="24"/>
          <w:szCs w:val="24"/>
          <w:lang w:val="en-US" w:eastAsia="zh-CN"/>
        </w:rPr>
        <w:t>6</w:t>
      </w:r>
      <w:r>
        <w:rPr>
          <w:rFonts w:hint="eastAsia" w:ascii="Arial" w:hAnsi="Arial" w:eastAsia="宋体" w:cs="Arial"/>
          <w:b/>
          <w:sz w:val="24"/>
          <w:szCs w:val="24"/>
          <w:lang w:val="en-US" w:eastAsia="zh-CN"/>
        </w:rPr>
        <w:t>-e</w:t>
      </w:r>
      <w:r>
        <w:rPr>
          <w:rFonts w:hint="eastAsia" w:ascii="Arial" w:hAnsi="Arial" w:cs="Arial"/>
          <w:b/>
          <w:sz w:val="24"/>
          <w:szCs w:val="24"/>
        </w:rPr>
        <w:t xml:space="preserve">                                 R4-2010946</w:t>
      </w:r>
      <w:bookmarkStart w:id="10" w:name="_GoBack"/>
      <w:bookmarkEnd w:id="10"/>
      <w:r>
        <w:rPr>
          <w:rFonts w:hint="eastAsia" w:ascii="Arial" w:hAnsi="Arial" w:cs="Arial"/>
          <w:b/>
          <w:sz w:val="24"/>
          <w:szCs w:val="24"/>
        </w:rPr>
        <w:t xml:space="preserve">                          </w:t>
      </w:r>
    </w:p>
    <w:p>
      <w:pPr>
        <w:rPr>
          <w:rFonts w:hint="eastAsia" w:ascii="Arial" w:hAnsi="Arial" w:eastAsia="宋体" w:cs="Arial"/>
          <w:b/>
          <w:sz w:val="24"/>
          <w:szCs w:val="24"/>
          <w:highlight w:val="yellow"/>
          <w:lang w:val="en-US" w:eastAsia="zh-CN"/>
        </w:rPr>
      </w:pPr>
      <w:r>
        <w:rPr>
          <w:rFonts w:hint="eastAsia" w:ascii="Arial" w:hAnsi="Arial" w:cs="Arial"/>
          <w:b/>
          <w:sz w:val="24"/>
          <w:szCs w:val="24"/>
          <w:lang w:val="en-US" w:eastAsia="zh-CN"/>
        </w:rPr>
        <w:t>E-meeting</w:t>
      </w:r>
      <w:r>
        <w:rPr>
          <w:rFonts w:hint="eastAsia" w:ascii="Arial" w:hAnsi="Arial" w:cs="Arial"/>
          <w:b/>
          <w:sz w:val="24"/>
          <w:szCs w:val="24"/>
        </w:rPr>
        <w:t>,</w:t>
      </w:r>
      <w:r>
        <w:rPr>
          <w:rFonts w:ascii="Arial" w:hAnsi="Arial" w:cs="Arial"/>
          <w:b/>
          <w:sz w:val="24"/>
          <w:szCs w:val="24"/>
          <w:lang w:eastAsia="en-US"/>
        </w:rPr>
        <w:t xml:space="preserve"> </w:t>
      </w:r>
      <w:r>
        <w:rPr>
          <w:rFonts w:ascii="Arial" w:hAnsi="Arial" w:cs="Arial"/>
          <w:b/>
          <w:sz w:val="24"/>
          <w:szCs w:val="24"/>
          <w:lang w:eastAsia="zh-CN"/>
        </w:rPr>
        <w:t>17</w:t>
      </w:r>
      <w:r>
        <w:rPr>
          <w:rFonts w:hint="eastAsia" w:ascii="Arial" w:hAnsi="Arial" w:cs="Arial"/>
          <w:b/>
          <w:sz w:val="24"/>
          <w:szCs w:val="24"/>
          <w:lang w:val="en-US" w:eastAsia="zh-CN"/>
        </w:rPr>
        <w:t>. Aug-28. Aug</w:t>
      </w:r>
      <w:r>
        <w:rPr>
          <w:rFonts w:ascii="Arial" w:hAnsi="Arial" w:cs="Arial"/>
          <w:b/>
          <w:sz w:val="24"/>
          <w:szCs w:val="24"/>
          <w:lang w:eastAsia="zh-CN"/>
        </w:rPr>
        <w:t>, 2020</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13</w:t>
      </w:r>
      <w:r>
        <w:rPr>
          <w:rFonts w:hint="eastAsia" w:ascii="Arial" w:hAnsi="Arial" w:cs="Arial"/>
          <w:b/>
          <w:sz w:val="24"/>
          <w:szCs w:val="24"/>
        </w:rPr>
        <w:t>.</w:t>
      </w:r>
      <w:r>
        <w:rPr>
          <w:rFonts w:hint="eastAsia" w:ascii="Arial" w:hAnsi="Arial" w:cs="Arial"/>
          <w:b/>
          <w:sz w:val="24"/>
          <w:szCs w:val="24"/>
          <w:lang w:val="en-US" w:eastAsia="zh-CN"/>
        </w:rPr>
        <w:t>2</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0" w:name="OLE_LINK7"/>
      <w:bookmarkStart w:id="1" w:name="OLE_LINK1"/>
      <w:r>
        <w:rPr>
          <w:rFonts w:hint="eastAsia" w:ascii="Arial" w:hAnsi="Arial" w:eastAsia="宋体" w:cs="Arial"/>
          <w:b/>
          <w:sz w:val="24"/>
          <w:szCs w:val="24"/>
          <w:lang w:val="en-US" w:eastAsia="zh-CN"/>
        </w:rPr>
        <w:t xml:space="preserve">Discussion on system parameters for 52.6GHz-71GHz </w:t>
      </w:r>
      <w:bookmarkEnd w:id="0"/>
      <w:r>
        <w:rPr>
          <w:rFonts w:hint="eastAsia" w:ascii="Arial" w:hAnsi="Arial" w:eastAsia="宋体" w:cs="Arial"/>
          <w:b/>
          <w:sz w:val="24"/>
          <w:szCs w:val="24"/>
          <w:lang w:val="en-US" w:eastAsia="zh-CN"/>
        </w:rPr>
        <w:t xml:space="preserve"> </w:t>
      </w:r>
      <w:bookmarkEnd w:id="1"/>
      <w:r>
        <w:rPr>
          <w:rFonts w:hint="eastAsia" w:ascii="Arial" w:hAnsi="Arial" w:cs="Arial"/>
          <w:b/>
          <w:sz w:val="24"/>
          <w:szCs w:val="24"/>
        </w:rPr>
        <w:t xml:space="preserve"> </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rPr>
        <w:t xml:space="preserve">Approval  </w:t>
      </w:r>
    </w:p>
    <w:p>
      <w:pPr>
        <w:pStyle w:val="42"/>
        <w:tabs>
          <w:tab w:val="left" w:pos="567"/>
          <w:tab w:val="clear" w:pos="1985"/>
        </w:tabs>
        <w:adjustRightInd w:val="0"/>
        <w:ind w:left="510" w:hanging="510"/>
      </w:pPr>
      <w:r>
        <w:t>Introduction</w:t>
      </w:r>
    </w:p>
    <w:p>
      <w:pPr>
        <w:pStyle w:val="41"/>
        <w:pBdr>
          <w:bottom w:val="single" w:color="auto" w:sz="4" w:space="0"/>
        </w:pBdr>
        <w:rPr>
          <w:rFonts w:hint="eastAsia" w:ascii="Times New Roman" w:hAnsi="Times New Roman" w:eastAsia="宋体"/>
          <w:lang w:val="en-US" w:eastAsia="zh-CN"/>
        </w:rPr>
      </w:pPr>
      <w:r>
        <w:rPr>
          <w:rFonts w:ascii="Times New Roman" w:hAnsi="Times New Roman"/>
        </w:rPr>
        <w:t xml:space="preserve">In the </w:t>
      </w:r>
      <w:r>
        <w:rPr>
          <w:rFonts w:hint="eastAsia" w:ascii="Times New Roman" w:hAnsi="Times New Roman"/>
          <w:lang w:val="en-US" w:eastAsia="zh-CN"/>
        </w:rPr>
        <w:t xml:space="preserve">RAN#86 </w:t>
      </w:r>
      <w:r>
        <w:rPr>
          <w:rFonts w:ascii="Times New Roman" w:hAnsi="Times New Roman"/>
        </w:rPr>
        <w:t xml:space="preserve">meeting, </w:t>
      </w:r>
      <w:r>
        <w:rPr>
          <w:rFonts w:hint="eastAsia" w:ascii="Times New Roman" w:hAnsi="Times New Roman" w:eastAsia="宋体"/>
          <w:lang w:val="en-US" w:eastAsia="zh-CN"/>
        </w:rPr>
        <w:t>SI for studying on supporting NR from 52.6GHz to 71GHz was approved and RAN4 are targeted to investigate</w:t>
      </w:r>
      <w:bookmarkStart w:id="3" w:name="OLE_LINK2"/>
      <w:r>
        <w:rPr>
          <w:rFonts w:hint="eastAsia" w:ascii="Times New Roman" w:hAnsi="Times New Roman" w:eastAsia="宋体"/>
          <w:lang w:val="en-US" w:eastAsia="zh-CN"/>
        </w:rPr>
        <w:t xml:space="preserve"> the applicable subcarrier spacing and channel bandwidth, therefore in this contribution, we want to share some initial inputs on this issue.</w:t>
      </w:r>
      <w:bookmarkEnd w:id="3"/>
    </w:p>
    <w:p>
      <w:pPr>
        <w:numPr>
          <w:ilvl w:val="0"/>
          <w:numId w:val="2"/>
        </w:numPr>
        <w:spacing w:after="0"/>
        <w:textAlignment w:val="auto"/>
        <w:rPr>
          <w:bCs/>
          <w:lang w:val="en-US"/>
        </w:rPr>
      </w:pPr>
      <w:r>
        <w:rPr>
          <w:bCs/>
          <w:lang w:val="en-US"/>
        </w:rPr>
        <w:t>Study of required changes to NR using existing DL/UL NR waveform to support operation between 52.6 GHz and 71 GHz</w:t>
      </w:r>
    </w:p>
    <w:p>
      <w:pPr>
        <w:numPr>
          <w:ilvl w:val="1"/>
          <w:numId w:val="2"/>
        </w:numPr>
        <w:spacing w:after="0"/>
        <w:textAlignment w:val="auto"/>
        <w:rPr>
          <w:bCs/>
          <w:lang w:val="en-US"/>
        </w:rPr>
      </w:pPr>
      <w:r>
        <w:rPr>
          <w:bCs/>
          <w:lang w:val="en-US"/>
        </w:rPr>
        <w:t>Study of applicable numerology including subcarrier spacing, channel BW (including maximum BW), and their impact to FR2 physical layer design to support system functionality considering practical RF impairments [RAN1</w:t>
      </w:r>
      <w:r>
        <w:rPr>
          <w:bCs/>
        </w:rPr>
        <w:t>, RAN4</w:t>
      </w:r>
      <w:r>
        <w:rPr>
          <w:bCs/>
          <w:lang w:val="en-US"/>
        </w:rPr>
        <w:t>].</w:t>
      </w:r>
    </w:p>
    <w:p>
      <w:pPr>
        <w:numPr>
          <w:ilvl w:val="1"/>
          <w:numId w:val="2"/>
        </w:numPr>
        <w:spacing w:after="0"/>
        <w:textAlignment w:val="auto"/>
        <w:rPr>
          <w:rFonts w:hint="eastAsia" w:ascii="Times New Roman" w:hAnsi="Times New Roman"/>
          <w:lang w:val="en-US" w:eastAsia="zh-CN"/>
        </w:rPr>
      </w:pPr>
      <w:r>
        <w:rPr>
          <w:lang w:eastAsia="ja-JP"/>
        </w:rPr>
        <w:t>Identify potential critical problems to physical signal/channels, if any [RAN1].</w:t>
      </w:r>
    </w:p>
    <w:p>
      <w:pPr>
        <w:pStyle w:val="42"/>
        <w:tabs>
          <w:tab w:val="left" w:pos="567"/>
          <w:tab w:val="clear" w:pos="1985"/>
        </w:tabs>
        <w:adjustRightInd w:val="0"/>
        <w:ind w:left="510" w:hanging="510"/>
        <w:rPr>
          <w:rFonts w:hint="eastAsia" w:ascii="Arial" w:hAnsi="Arial"/>
          <w:lang w:val="en-US" w:eastAsia="zh-CN"/>
        </w:rPr>
      </w:pPr>
      <w:r>
        <w:rPr>
          <w:rFonts w:hint="eastAsia" w:ascii="Arial" w:hAnsi="Arial"/>
        </w:rPr>
        <w:t xml:space="preserve">Discussion </w:t>
      </w:r>
      <w:bookmarkStart w:id="4" w:name="OLE_LINK13"/>
      <w:bookmarkStart w:id="5" w:name="OLE_LINK14"/>
    </w:p>
    <w:p>
      <w:pPr>
        <w:pStyle w:val="29"/>
        <w:rPr>
          <w:rFonts w:hint="eastAsia" w:ascii="Times New Roman" w:hAnsi="Times New Roman" w:eastAsia="宋体"/>
          <w:kern w:val="2"/>
          <w:sz w:val="21"/>
          <w:szCs w:val="21"/>
          <w:lang w:val="en-US" w:eastAsia="zh-CN" w:bidi="ar-SA"/>
        </w:rPr>
      </w:pPr>
      <w:r>
        <w:rPr>
          <w:rFonts w:hint="eastAsia" w:ascii="Times New Roman" w:hAnsi="Times New Roman" w:eastAsia="宋体"/>
          <w:kern w:val="2"/>
          <w:sz w:val="21"/>
          <w:szCs w:val="21"/>
          <w:lang w:val="en-US" w:eastAsia="zh-CN" w:bidi="ar-SA"/>
        </w:rPr>
        <w:t>52.6GHz to 71GHz is spanning over the wide frequency range within which 57-66GHz is currently assigned to IEEE 802.11ad/ay operation in some regions globally, the more specific information is as shown in Figure 1</w:t>
      </w:r>
      <w:bookmarkStart w:id="6" w:name="OLE_LINK3"/>
      <w:r>
        <w:rPr>
          <w:rFonts w:hint="eastAsia" w:ascii="Times New Roman" w:hAnsi="Times New Roman" w:eastAsia="宋体"/>
          <w:kern w:val="2"/>
          <w:sz w:val="21"/>
          <w:szCs w:val="21"/>
          <w:lang w:val="en-US" w:eastAsia="zh-CN" w:bidi="ar-SA"/>
        </w:rPr>
        <w:t>. In order to better utilize and share the spectrum from 57-66GHz with IEEE 802.11ad/ay tech, then similar channel bandwidth allocation and occupation should be specified for NR system.</w:t>
      </w:r>
      <w:bookmarkEnd w:id="6"/>
      <w:r>
        <w:rPr>
          <w:rFonts w:hint="eastAsia" w:ascii="Times New Roman" w:hAnsi="Times New Roman" w:eastAsia="宋体"/>
          <w:kern w:val="2"/>
          <w:sz w:val="21"/>
          <w:szCs w:val="21"/>
          <w:lang w:val="en-US" w:eastAsia="zh-CN" w:bidi="ar-SA"/>
        </w:rPr>
        <w:t xml:space="preserve"> </w:t>
      </w:r>
    </w:p>
    <w:p>
      <w:pPr>
        <w:pStyle w:val="29"/>
        <w:jc w:val="center"/>
      </w:pPr>
      <w:r>
        <w:drawing>
          <wp:inline distT="0" distB="0" distL="114300" distR="114300">
            <wp:extent cx="6184900" cy="2159000"/>
            <wp:effectExtent l="0" t="0" r="6350" b="1270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5"/>
                    <a:stretch>
                      <a:fillRect/>
                    </a:stretch>
                  </pic:blipFill>
                  <pic:spPr>
                    <a:xfrm>
                      <a:off x="0" y="0"/>
                      <a:ext cx="6184900" cy="2159000"/>
                    </a:xfrm>
                    <a:prstGeom prst="rect">
                      <a:avLst/>
                    </a:prstGeom>
                    <a:noFill/>
                    <a:ln>
                      <a:noFill/>
                    </a:ln>
                  </pic:spPr>
                </pic:pic>
              </a:graphicData>
            </a:graphic>
          </wp:inline>
        </w:drawing>
      </w:r>
    </w:p>
    <w:p>
      <w:pPr>
        <w:pStyle w:val="29"/>
        <w:jc w:val="center"/>
        <w:rPr>
          <w:rFonts w:hint="eastAsia" w:eastAsia="宋体"/>
          <w:lang w:val="en-US" w:eastAsia="zh-CN"/>
        </w:rPr>
      </w:pPr>
      <w:r>
        <w:rPr>
          <w:rFonts w:hint="eastAsia" w:eastAsia="宋体"/>
          <w:lang w:val="en-US" w:eastAsia="zh-CN"/>
        </w:rPr>
        <w:t>Figure 1. channel allocation for IEEE 802.11ad</w:t>
      </w:r>
    </w:p>
    <w:p>
      <w:pPr>
        <w:pStyle w:val="29"/>
        <w:rPr>
          <w:rFonts w:hint="eastAsia" w:ascii="Times New Roman" w:hAnsi="Times New Roman"/>
          <w:b/>
          <w:bCs/>
          <w:szCs w:val="21"/>
          <w:lang w:val="en-US" w:eastAsia="zh-CN"/>
        </w:rPr>
      </w:pPr>
      <w:bookmarkStart w:id="7" w:name="OLE_LINK4"/>
      <w:r>
        <w:rPr>
          <w:rFonts w:hint="eastAsia" w:ascii="Times New Roman" w:hAnsi="Times New Roman"/>
          <w:b/>
          <w:bCs/>
          <w:szCs w:val="21"/>
          <w:lang w:val="en-US" w:eastAsia="zh-CN"/>
        </w:rPr>
        <w:t>Proposal 1: to specify 2.16GHz</w:t>
      </w:r>
      <w:r>
        <w:rPr>
          <w:rFonts w:hint="eastAsia" w:ascii="Times New Roman" w:hAnsi="Times New Roman"/>
          <w:b/>
          <w:bCs/>
          <w:szCs w:val="21"/>
          <w:highlight w:val="none"/>
          <w:lang w:val="en-US" w:eastAsia="zh-CN"/>
        </w:rPr>
        <w:t xml:space="preserve"> </w:t>
      </w:r>
      <w:r>
        <w:rPr>
          <w:rFonts w:hint="eastAsia" w:ascii="Times New Roman" w:hAnsi="Times New Roman"/>
          <w:b/>
          <w:bCs/>
          <w:szCs w:val="21"/>
          <w:lang w:val="en-US" w:eastAsia="zh-CN"/>
        </w:rPr>
        <w:t>channel bandwidth for NR system operating from 57GHz-66GHz.</w:t>
      </w:r>
    </w:p>
    <w:bookmarkEnd w:id="7"/>
    <w:p>
      <w:pPr>
        <w:pStyle w:val="29"/>
        <w:rPr>
          <w:rFonts w:hint="eastAsia" w:ascii="Times New Roman" w:hAnsi="Times New Roman" w:eastAsia="宋体"/>
          <w:kern w:val="2"/>
          <w:sz w:val="21"/>
          <w:szCs w:val="21"/>
          <w:lang w:val="en-US" w:eastAsia="zh-CN" w:bidi="ar-SA"/>
        </w:rPr>
      </w:pPr>
      <w:r>
        <w:rPr>
          <w:rFonts w:hint="eastAsia" w:ascii="Times New Roman" w:hAnsi="Times New Roman" w:eastAsia="宋体"/>
          <w:kern w:val="2"/>
          <w:sz w:val="21"/>
          <w:szCs w:val="21"/>
          <w:lang w:val="en-US" w:eastAsia="zh-CN" w:bidi="ar-SA"/>
        </w:rPr>
        <w:t>For NR system, if the subcarrier spacing is assumed as 480kHz and the maximum FFT size is assumed as 4096, therefore the sampling rate supported should be 1.96608GHz which is less than 2.16GHz channel bandwidth proposed. In other words, there would be a</w:t>
      </w:r>
      <w:r>
        <w:rPr>
          <w:rFonts w:hint="default" w:ascii="Times New Roman" w:hAnsi="Times New Roman" w:eastAsia="宋体"/>
          <w:kern w:val="2"/>
          <w:sz w:val="21"/>
          <w:szCs w:val="21"/>
          <w:lang w:val="en-US" w:eastAsia="zh-CN" w:bidi="ar-SA"/>
        </w:rPr>
        <w:t>lias</w:t>
      </w:r>
      <w:r>
        <w:rPr>
          <w:rFonts w:hint="eastAsia" w:ascii="Times New Roman" w:hAnsi="Times New Roman" w:eastAsia="宋体"/>
          <w:kern w:val="2"/>
          <w:sz w:val="21"/>
          <w:szCs w:val="21"/>
          <w:lang w:val="en-US" w:eastAsia="zh-CN" w:bidi="ar-SA"/>
        </w:rPr>
        <w:t xml:space="preserve">ing if sampling rate is limited to 1.96608GHz from the implementation perspective. </w:t>
      </w:r>
    </w:p>
    <w:p>
      <w:pPr>
        <w:keepNext w:val="0"/>
        <w:keepLines w:val="0"/>
        <w:widowControl/>
        <w:suppressLineNumbers w:val="0"/>
        <w:pBdr>
          <w:top w:val="none" w:color="auto" w:sz="0" w:space="0"/>
          <w:left w:val="none" w:color="auto" w:sz="0" w:space="0"/>
          <w:bottom w:val="none" w:color="auto" w:sz="0" w:space="0"/>
        </w:pBdr>
        <w:wordWrap w:val="0"/>
        <w:jc w:val="both"/>
        <w:rPr>
          <w:rFonts w:hint="eastAsia" w:ascii="Times New Roman" w:hAnsi="Times New Roman"/>
          <w:b/>
          <w:bCs/>
          <w:kern w:val="2"/>
          <w:sz w:val="21"/>
          <w:szCs w:val="21"/>
          <w:lang w:val="en-US" w:eastAsia="zh-CN" w:bidi="ar-SA"/>
        </w:rPr>
      </w:pPr>
      <w:bookmarkStart w:id="8" w:name="OLE_LINK5"/>
      <w:r>
        <w:rPr>
          <w:rFonts w:hint="eastAsia" w:ascii="Times New Roman" w:hAnsi="Times New Roman"/>
          <w:b/>
          <w:bCs/>
          <w:kern w:val="2"/>
          <w:sz w:val="21"/>
          <w:szCs w:val="21"/>
          <w:lang w:val="en-US" w:eastAsia="zh-CN" w:bidi="ar-SA"/>
        </w:rPr>
        <w:t xml:space="preserve">Proposal 2: to further increase the sampling rate to be higher than 1.96608GHz. </w:t>
      </w:r>
      <w:bookmarkEnd w:id="8"/>
    </w:p>
    <w:p>
      <w:pPr>
        <w:keepNext w:val="0"/>
        <w:keepLines w:val="0"/>
        <w:widowControl/>
        <w:suppressLineNumbers w:val="0"/>
        <w:pBdr>
          <w:top w:val="none" w:color="auto" w:sz="0" w:space="0"/>
          <w:left w:val="none" w:color="auto" w:sz="0" w:space="0"/>
          <w:bottom w:val="none" w:color="auto" w:sz="0" w:space="0"/>
        </w:pBdr>
        <w:wordWrap w:val="0"/>
        <w:jc w:val="both"/>
        <w:rPr>
          <w:rFonts w:hint="eastAsia" w:ascii="Times New Roman" w:hAnsi="Times New Roman"/>
          <w:b/>
          <w:bCs/>
          <w:kern w:val="2"/>
          <w:sz w:val="21"/>
          <w:szCs w:val="21"/>
          <w:lang w:val="en-US" w:eastAsia="zh-CN" w:bidi="ar-SA"/>
        </w:rPr>
      </w:pPr>
    </w:p>
    <w:p>
      <w:pPr>
        <w:pStyle w:val="29"/>
        <w:rPr>
          <w:rFonts w:hint="default" w:ascii="Times New Roman" w:hAnsi="Times New Roman" w:eastAsia="宋体"/>
          <w:kern w:val="2"/>
          <w:sz w:val="21"/>
          <w:szCs w:val="21"/>
          <w:lang w:val="en-US" w:eastAsia="zh-CN" w:bidi="ar-SA"/>
        </w:rPr>
      </w:pPr>
      <w:r>
        <w:rPr>
          <w:rFonts w:hint="eastAsia" w:ascii="Times New Roman" w:hAnsi="Times New Roman" w:eastAsia="宋体"/>
          <w:kern w:val="2"/>
          <w:sz w:val="21"/>
          <w:szCs w:val="21"/>
          <w:lang w:val="en-US" w:eastAsia="zh-CN" w:bidi="ar-SA"/>
        </w:rPr>
        <w:t xml:space="preserve">As mentioned before, to increase the sampling rate to avoid the aliasing could be either by increasing the SCS or increasing maximum supported FFT size. From our understanding that maximum FFT size should be better to be maintained as the same as legacy mmWave NR system with 4096. As increasing the FFT size might need baseband ROM redesign, and this will beneficial to share the baseband between legacy mmWave band and 52.6GHz to 71GHz. In other words, the subcarrier spacing should be increased instead which is also aligned with worse phase noise performance and relative larger subcarrier spacing needed. Based on the above considerations, </w:t>
      </w:r>
    </w:p>
    <w:p>
      <w:pPr>
        <w:pStyle w:val="29"/>
        <w:rPr>
          <w:rFonts w:hint="eastAsia" w:ascii="Times New Roman" w:hAnsi="Times New Roman" w:eastAsia="宋体"/>
          <w:kern w:val="2"/>
          <w:sz w:val="21"/>
          <w:szCs w:val="21"/>
          <w:lang w:val="en-US" w:eastAsia="zh-CN" w:bidi="ar-SA"/>
        </w:rPr>
      </w:pPr>
      <w:r>
        <w:rPr>
          <w:rFonts w:hint="eastAsia" w:ascii="Times New Roman" w:hAnsi="Times New Roman" w:eastAsia="宋体"/>
          <w:kern w:val="2"/>
          <w:sz w:val="21"/>
          <w:szCs w:val="21"/>
          <w:lang w:val="en-US" w:eastAsia="zh-CN" w:bidi="ar-SA"/>
        </w:rPr>
        <w:t xml:space="preserve"> </w:t>
      </w:r>
    </w:p>
    <w:p>
      <w:pPr>
        <w:pStyle w:val="29"/>
        <w:rPr>
          <w:rFonts w:hint="eastAsia" w:ascii="Times New Roman" w:hAnsi="Times New Roman"/>
          <w:b/>
          <w:bCs/>
          <w:lang w:val="en-US" w:eastAsia="zh-CN"/>
        </w:rPr>
      </w:pPr>
      <w:bookmarkStart w:id="9" w:name="OLE_LINK6"/>
      <w:r>
        <w:rPr>
          <w:rFonts w:hint="eastAsia" w:ascii="Times New Roman" w:hAnsi="Times New Roman"/>
          <w:b/>
          <w:bCs/>
          <w:lang w:val="en-US" w:eastAsia="zh-CN"/>
        </w:rPr>
        <w:t>Proposal 3: to adopt the following candidate SCS and FFT size is maintained as 4096 from 57-66GHz .</w:t>
      </w:r>
    </w:p>
    <w:tbl>
      <w:tblPr>
        <w:tblStyle w:val="28"/>
        <w:tblW w:w="3746" w:type="dxa"/>
        <w:jc w:val="center"/>
        <w:tblInd w:w="3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989"/>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SCS [KHz]</w:t>
            </w:r>
          </w:p>
        </w:tc>
        <w:tc>
          <w:tcPr>
            <w:tcW w:w="989"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FFT size</w:t>
            </w:r>
          </w:p>
        </w:tc>
        <w:tc>
          <w:tcPr>
            <w:tcW w:w="1542"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Sampling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eastAsia"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960</w:t>
            </w:r>
          </w:p>
        </w:tc>
        <w:tc>
          <w:tcPr>
            <w:tcW w:w="989" w:type="dxa"/>
            <w:vAlign w:val="top"/>
          </w:tcPr>
          <w:p>
            <w:pPr>
              <w:pStyle w:val="29"/>
              <w:rPr>
                <w:rFonts w:hint="eastAsia"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4096</w:t>
            </w:r>
          </w:p>
        </w:tc>
        <w:tc>
          <w:tcPr>
            <w:tcW w:w="1542" w:type="dxa"/>
            <w:vAlign w:val="bottom"/>
          </w:tcPr>
          <w:p>
            <w:pPr>
              <w:keepNext w:val="0"/>
              <w:keepLines w:val="0"/>
              <w:widowControl/>
              <w:suppressLineNumbers w:val="0"/>
              <w:pBdr>
                <w:top w:val="none" w:color="auto" w:sz="0" w:space="0"/>
                <w:left w:val="none" w:color="auto" w:sz="0" w:space="0"/>
                <w:bottom w:val="none" w:color="auto" w:sz="0" w:space="0"/>
              </w:pBdr>
              <w:wordWrap w:val="0"/>
              <w:jc w:val="both"/>
              <w:rPr>
                <w:rFonts w:hint="eastAsia" w:ascii="Times New Roman" w:hAnsi="Times New Roman" w:eastAsia="宋体"/>
                <w:lang w:val="en-US" w:eastAsia="zh-CN"/>
              </w:rPr>
            </w:pPr>
            <w:r>
              <w:rPr>
                <w:rFonts w:hint="eastAsia" w:ascii="Times New Roman" w:hAnsi="Times New Roman" w:eastAsia="宋体"/>
                <w:lang w:val="en-US" w:eastAsia="zh-CN"/>
              </w:rPr>
              <w:t>3.932160GHz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eastAsia"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1920</w:t>
            </w:r>
          </w:p>
        </w:tc>
        <w:tc>
          <w:tcPr>
            <w:tcW w:w="989" w:type="dxa"/>
            <w:vAlign w:val="top"/>
          </w:tcPr>
          <w:p>
            <w:pPr>
              <w:pStyle w:val="29"/>
              <w:rPr>
                <w:rFonts w:hint="eastAsia"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2048</w:t>
            </w:r>
          </w:p>
        </w:tc>
        <w:tc>
          <w:tcPr>
            <w:tcW w:w="1542" w:type="dxa"/>
            <w:vAlign w:val="bottom"/>
          </w:tcPr>
          <w:p>
            <w:pPr>
              <w:keepNext w:val="0"/>
              <w:keepLines w:val="0"/>
              <w:widowControl/>
              <w:suppressLineNumbers w:val="0"/>
              <w:pBdr>
                <w:top w:val="none" w:color="auto" w:sz="0" w:space="0"/>
                <w:left w:val="none" w:color="auto" w:sz="0" w:space="0"/>
                <w:bottom w:val="none" w:color="auto" w:sz="0" w:space="0"/>
              </w:pBdr>
              <w:wordWrap w:val="0"/>
              <w:jc w:val="both"/>
              <w:rPr>
                <w:rFonts w:hint="eastAsia" w:ascii="Times New Roman" w:hAnsi="Times New Roman" w:eastAsia="宋体"/>
                <w:lang w:val="en-US" w:eastAsia="zh-CN"/>
              </w:rPr>
            </w:pPr>
            <w:r>
              <w:rPr>
                <w:rFonts w:hint="eastAsia" w:ascii="Times New Roman" w:hAnsi="Times New Roman" w:eastAsia="宋体"/>
                <w:lang w:val="en-US" w:eastAsia="zh-CN"/>
              </w:rPr>
              <w:t>3.932160GHz</w:t>
            </w:r>
          </w:p>
        </w:tc>
      </w:tr>
      <w:bookmarkEnd w:id="9"/>
    </w:tbl>
    <w:p>
      <w:pPr>
        <w:pStyle w:val="29"/>
        <w:rPr>
          <w:rFonts w:hint="eastAsia" w:ascii="Times New Roman" w:hAnsi="Times New Roman" w:eastAsia="宋体"/>
          <w:kern w:val="2"/>
          <w:sz w:val="21"/>
          <w:szCs w:val="21"/>
          <w:lang w:val="en-US" w:eastAsia="zh-CN" w:bidi="ar-SA"/>
        </w:rPr>
      </w:pPr>
    </w:p>
    <w:p>
      <w:pPr>
        <w:pStyle w:val="29"/>
        <w:rPr>
          <w:rFonts w:hint="eastAsia" w:ascii="Times New Roman" w:hAnsi="Times New Roman" w:eastAsia="宋体"/>
          <w:kern w:val="2"/>
          <w:sz w:val="21"/>
          <w:szCs w:val="21"/>
          <w:highlight w:val="none"/>
          <w:lang w:val="en-US" w:eastAsia="zh-CN" w:bidi="ar-SA"/>
        </w:rPr>
      </w:pPr>
      <w:r>
        <w:rPr>
          <w:rFonts w:hint="eastAsia" w:ascii="Times New Roman" w:hAnsi="Times New Roman" w:eastAsia="宋体"/>
          <w:kern w:val="2"/>
          <w:sz w:val="21"/>
          <w:szCs w:val="21"/>
          <w:highlight w:val="none"/>
          <w:lang w:val="en-US" w:eastAsia="zh-CN" w:bidi="ar-SA"/>
        </w:rPr>
        <w:t xml:space="preserve">For the frequency range other than 57-66GHz, there are some footnotes specified in ITU-R RR which is also shown in Figure 1 for the convenience of understanding. </w:t>
      </w:r>
    </w:p>
    <w:p>
      <w:pPr>
        <w:pStyle w:val="29"/>
        <w:rPr>
          <w:rFonts w:hint="eastAsia" w:ascii="Times New Roman" w:hAnsi="Times New Roman" w:eastAsia="宋体"/>
          <w:kern w:val="2"/>
          <w:sz w:val="21"/>
          <w:szCs w:val="21"/>
          <w:highlight w:val="none"/>
          <w:lang w:val="en-US" w:eastAsia="zh-CN" w:bidi="ar-SA"/>
        </w:rPr>
      </w:pPr>
      <w:r>
        <w:rPr>
          <w:rFonts w:hint="eastAsia" w:ascii="Times New Roman" w:hAnsi="Times New Roman" w:eastAsia="宋体"/>
          <w:kern w:val="2"/>
          <w:sz w:val="21"/>
          <w:szCs w:val="21"/>
          <w:highlight w:val="none"/>
          <w:lang w:val="en-US" w:eastAsia="zh-CN" w:bidi="ar-SA"/>
        </w:rPr>
        <w:t xml:space="preserve">For frequency range 52.6-54.25GHz due to EESS (passive) protection e.g.weather prediction service, therefore in ITU-R Footnote 5.340, all emission is proposed as prohibited. In other words, it could not be assigned or used for IMT transmission. </w:t>
      </w:r>
    </w:p>
    <w:p>
      <w:pPr>
        <w:pStyle w:val="29"/>
        <w:rPr>
          <w:rFonts w:hint="eastAsia" w:ascii="Times New Roman" w:hAnsi="Times New Roman" w:eastAsia="宋体"/>
          <w:kern w:val="2"/>
          <w:sz w:val="21"/>
          <w:szCs w:val="21"/>
          <w:highlight w:val="none"/>
          <w:lang w:val="en-US" w:eastAsia="zh-CN" w:bidi="ar-SA"/>
        </w:rPr>
      </w:pPr>
      <w:r>
        <w:rPr>
          <w:rFonts w:hint="eastAsia" w:ascii="Times New Roman" w:hAnsi="Times New Roman" w:eastAsia="宋体"/>
          <w:kern w:val="2"/>
          <w:sz w:val="21"/>
          <w:szCs w:val="21"/>
          <w:highlight w:val="none"/>
          <w:lang w:val="en-US" w:eastAsia="zh-CN" w:bidi="ar-SA"/>
        </w:rPr>
        <w:t>For frequency range 54.25-57.24GHz next to EESS (passive), it is not assigned for IMT currently in ITU-R and also not within the agenda of WRC-23, therefore in the near future, these frequency range cannot be used for IMT. If possible, these frequency range could be used for IMT in future, the situation for coexistence environment might be quite similar as 23.6-24GHz and 24.25-27.5GHz.</w:t>
      </w:r>
    </w:p>
    <w:p>
      <w:pPr>
        <w:pStyle w:val="29"/>
        <w:rPr>
          <w:rFonts w:hint="eastAsia" w:ascii="Times New Roman" w:hAnsi="Times New Roman" w:eastAsia="宋体"/>
          <w:kern w:val="2"/>
          <w:sz w:val="21"/>
          <w:szCs w:val="21"/>
          <w:highlight w:val="none"/>
          <w:lang w:val="en-US" w:eastAsia="zh-CN" w:bidi="ar-SA"/>
        </w:rPr>
      </w:pPr>
    </w:p>
    <w:p>
      <w:pPr>
        <w:pStyle w:val="29"/>
        <w:rPr>
          <w:rFonts w:hint="default" w:ascii="Times New Roman" w:hAnsi="Times New Roman" w:eastAsia="宋体"/>
          <w:b/>
          <w:bCs/>
          <w:kern w:val="2"/>
          <w:sz w:val="21"/>
          <w:szCs w:val="21"/>
          <w:highlight w:val="none"/>
          <w:lang w:val="en-US" w:eastAsia="zh-CN" w:bidi="ar-SA"/>
        </w:rPr>
      </w:pPr>
      <w:r>
        <w:rPr>
          <w:rFonts w:hint="eastAsia" w:ascii="Times New Roman" w:hAnsi="Times New Roman" w:eastAsia="宋体"/>
          <w:b/>
          <w:bCs/>
          <w:kern w:val="2"/>
          <w:sz w:val="21"/>
          <w:szCs w:val="21"/>
          <w:highlight w:val="none"/>
          <w:lang w:val="en-US" w:eastAsia="zh-CN" w:bidi="ar-SA"/>
        </w:rPr>
        <w:t>Observation: 52.6-54.25GHz cannot be used for IMT and 54.25-57.24GHz is not identified for IMT in ITU-R yet.</w:t>
      </w:r>
    </w:p>
    <w:p>
      <w:pPr>
        <w:pStyle w:val="29"/>
        <w:rPr>
          <w:rFonts w:hint="eastAsia" w:ascii="Times New Roman" w:hAnsi="Times New Roman" w:eastAsia="宋体"/>
          <w:kern w:val="2"/>
          <w:sz w:val="21"/>
          <w:szCs w:val="21"/>
          <w:lang w:val="en-US" w:eastAsia="zh-CN" w:bidi="ar-SA"/>
        </w:rPr>
      </w:pPr>
    </w:p>
    <w:p>
      <w:pPr>
        <w:pStyle w:val="29"/>
        <w:rPr>
          <w:rFonts w:hint="default" w:ascii="Times New Roman" w:hAnsi="Times New Roman" w:eastAsia="宋体"/>
          <w:kern w:val="2"/>
          <w:sz w:val="21"/>
          <w:szCs w:val="21"/>
          <w:highlight w:val="none"/>
          <w:lang w:val="en-US" w:eastAsia="zh-CN" w:bidi="ar-SA"/>
        </w:rPr>
      </w:pPr>
      <w:r>
        <w:rPr>
          <w:rFonts w:hint="eastAsia" w:ascii="Times New Roman" w:hAnsi="Times New Roman" w:eastAsia="宋体"/>
          <w:kern w:val="2"/>
          <w:sz w:val="21"/>
          <w:szCs w:val="21"/>
          <w:highlight w:val="none"/>
          <w:lang w:val="en-US" w:eastAsia="zh-CN" w:bidi="ar-SA"/>
        </w:rPr>
        <w:t>For frequency range 66-71GHz, it has bee identified for the use of IMT, therefore in the following section, some further analysis is conducted from maximum channel bandwidth and supported subcarrier spacing perspective.</w:t>
      </w:r>
    </w:p>
    <w:p>
      <w:pPr>
        <w:pStyle w:val="29"/>
        <w:rPr>
          <w:rFonts w:hint="default" w:ascii="Times New Roman" w:hAnsi="Times New Roman" w:eastAsia="宋体"/>
          <w:kern w:val="2"/>
          <w:sz w:val="21"/>
          <w:szCs w:val="21"/>
          <w:lang w:val="en-US" w:eastAsia="zh-CN" w:bidi="ar-SA"/>
        </w:rPr>
      </w:pPr>
      <w:r>
        <w:drawing>
          <wp:inline distT="0" distB="0" distL="114300" distR="114300">
            <wp:extent cx="6181725" cy="608965"/>
            <wp:effectExtent l="0" t="0" r="9525" b="63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6"/>
                    <a:stretch>
                      <a:fillRect/>
                    </a:stretch>
                  </pic:blipFill>
                  <pic:spPr>
                    <a:xfrm>
                      <a:off x="0" y="0"/>
                      <a:ext cx="6181725" cy="608965"/>
                    </a:xfrm>
                    <a:prstGeom prst="rect">
                      <a:avLst/>
                    </a:prstGeom>
                    <a:noFill/>
                    <a:ln>
                      <a:noFill/>
                    </a:ln>
                  </pic:spPr>
                </pic:pic>
              </a:graphicData>
            </a:graphic>
          </wp:inline>
        </w:drawing>
      </w:r>
    </w:p>
    <w:p>
      <w:pPr>
        <w:pStyle w:val="29"/>
        <w:rPr>
          <w:rFonts w:hint="default" w:ascii="Times New Roman" w:hAnsi="Times New Roman" w:eastAsia="宋体"/>
          <w:kern w:val="2"/>
          <w:sz w:val="21"/>
          <w:szCs w:val="21"/>
          <w:highlight w:val="none"/>
          <w:lang w:val="en-US" w:eastAsia="zh-CN" w:bidi="ar-SA"/>
        </w:rPr>
      </w:pPr>
      <w:r>
        <w:rPr>
          <w:rFonts w:hint="eastAsia" w:ascii="Times New Roman" w:hAnsi="Times New Roman" w:eastAsia="宋体"/>
          <w:kern w:val="2"/>
          <w:sz w:val="21"/>
          <w:szCs w:val="21"/>
          <w:highlight w:val="none"/>
          <w:lang w:val="en-US" w:eastAsia="zh-CN" w:bidi="ar-SA"/>
        </w:rPr>
        <w:t>For the licensed usage of IMT in 66-71GHz, it is not necessary to align its carrier bandwidth with that 802.11ad/ay. Firstly to keep maximum FFT size as 4096 should be reasonable option to reduce the redesign work on baseband design. Secondly considering the worse phase noise performance expected in higher operation frequency, the supported SCS could be ranging from 120KkHz, 240kHz, 480kHz and 960kHz. Thirdly to keep the better granularity and more efficient usage of spectrum block, maximum channel bandwidth is assumed as 800MHz. Based on above considerations, proposals for 66-71GHz is made as following:</w:t>
      </w:r>
    </w:p>
    <w:p>
      <w:pPr>
        <w:pStyle w:val="29"/>
      </w:pPr>
      <w:r>
        <w:rPr>
          <w:rFonts w:hint="eastAsia" w:ascii="Times New Roman" w:hAnsi="Times New Roman"/>
          <w:b/>
          <w:bCs/>
          <w:lang w:val="en-US" w:eastAsia="zh-CN"/>
        </w:rPr>
        <w:t>Proposal 4: to adopt the following candidate SCS and maximum FFT size is maintained as 4096 from 66-71GHz.</w:t>
      </w:r>
    </w:p>
    <w:tbl>
      <w:tblPr>
        <w:tblStyle w:val="28"/>
        <w:tblW w:w="3746" w:type="dxa"/>
        <w:jc w:val="center"/>
        <w:tblInd w:w="3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989"/>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SCS [KHz]</w:t>
            </w:r>
          </w:p>
        </w:tc>
        <w:tc>
          <w:tcPr>
            <w:tcW w:w="989"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FFT size</w:t>
            </w:r>
          </w:p>
        </w:tc>
        <w:tc>
          <w:tcPr>
            <w:tcW w:w="1542"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Sampling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120</w:t>
            </w:r>
          </w:p>
        </w:tc>
        <w:tc>
          <w:tcPr>
            <w:tcW w:w="989"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4096</w:t>
            </w:r>
          </w:p>
        </w:tc>
        <w:tc>
          <w:tcPr>
            <w:tcW w:w="1542" w:type="dxa"/>
            <w:vAlign w:val="bottom"/>
          </w:tcPr>
          <w:p>
            <w:pPr>
              <w:keepNext w:val="0"/>
              <w:keepLines w:val="0"/>
              <w:widowControl/>
              <w:suppressLineNumbers w:val="0"/>
              <w:jc w:val="both"/>
              <w:textAlignment w:val="bottom"/>
              <w:rPr>
                <w:rFonts w:hint="default" w:ascii="Times New Roman" w:hAnsi="Times New Roman" w:eastAsia="宋体"/>
                <w:lang w:val="en-US" w:eastAsia="zh-CN"/>
              </w:rPr>
            </w:pPr>
            <w:r>
              <w:rPr>
                <w:rFonts w:hint="eastAsia" w:ascii="Times New Roman" w:hAnsi="Times New Roman"/>
                <w:b w:val="0"/>
                <w:bCs w:val="0"/>
                <w:kern w:val="2"/>
                <w:sz w:val="21"/>
                <w:szCs w:val="21"/>
                <w:vertAlign w:val="baseline"/>
                <w:lang w:val="en-US" w:eastAsia="zh-CN" w:bidi="ar-SA"/>
              </w:rPr>
              <w:t>0.491520GHz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15"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240</w:t>
            </w:r>
          </w:p>
        </w:tc>
        <w:tc>
          <w:tcPr>
            <w:tcW w:w="989" w:type="dxa"/>
            <w:vAlign w:val="top"/>
          </w:tcPr>
          <w:p>
            <w:pPr>
              <w:pStyle w:val="29"/>
              <w:rPr>
                <w:rFonts w:hint="eastAsia"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4096</w:t>
            </w:r>
          </w:p>
        </w:tc>
        <w:tc>
          <w:tcPr>
            <w:tcW w:w="1542" w:type="dxa"/>
            <w:vAlign w:val="bottom"/>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0.983040GHz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480</w:t>
            </w:r>
          </w:p>
        </w:tc>
        <w:tc>
          <w:tcPr>
            <w:tcW w:w="989"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2048</w:t>
            </w:r>
          </w:p>
        </w:tc>
        <w:tc>
          <w:tcPr>
            <w:tcW w:w="1542" w:type="dxa"/>
            <w:vAlign w:val="bottom"/>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0.983040GHz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960</w:t>
            </w:r>
          </w:p>
        </w:tc>
        <w:tc>
          <w:tcPr>
            <w:tcW w:w="989"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1024</w:t>
            </w:r>
          </w:p>
        </w:tc>
        <w:tc>
          <w:tcPr>
            <w:tcW w:w="1542" w:type="dxa"/>
            <w:vAlign w:val="bottom"/>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0.983040GHz</w:t>
            </w:r>
          </w:p>
        </w:tc>
      </w:tr>
    </w:tbl>
    <w:p>
      <w:pPr>
        <w:rPr>
          <w:rFonts w:hint="eastAsia"/>
          <w:lang w:val="en-US" w:eastAsia="zh-CN"/>
        </w:rPr>
      </w:pPr>
    </w:p>
    <w:bookmarkEnd w:id="4"/>
    <w:bookmarkEnd w:id="5"/>
    <w:p>
      <w:pPr>
        <w:pStyle w:val="42"/>
        <w:tabs>
          <w:tab w:val="left" w:pos="567"/>
          <w:tab w:val="clear" w:pos="1985"/>
        </w:tabs>
        <w:adjustRightInd w:val="0"/>
        <w:ind w:left="510" w:hanging="510"/>
        <w:rPr>
          <w:rFonts w:hint="eastAsia" w:ascii="Arial" w:hAnsi="Arial"/>
        </w:rPr>
      </w:pPr>
      <w:r>
        <w:rPr>
          <w:rFonts w:ascii="Arial" w:hAnsi="Arial"/>
        </w:rPr>
        <w:t>Conclusions</w:t>
      </w:r>
    </w:p>
    <w:p>
      <w:pPr>
        <w:pStyle w:val="29"/>
        <w:rPr>
          <w:rFonts w:hint="eastAsia" w:ascii="Times New Roman" w:hAnsi="Times New Roman" w:eastAsia="宋体"/>
          <w:lang w:val="en-US" w:eastAsia="zh-CN"/>
        </w:rPr>
      </w:pPr>
      <w:r>
        <w:rPr>
          <w:rFonts w:ascii="Times New Roman" w:hAnsi="Times New Roman"/>
        </w:rPr>
        <w:t>In this contribution, we share</w:t>
      </w:r>
      <w:r>
        <w:rPr>
          <w:rFonts w:hint="eastAsia" w:ascii="Times New Roman" w:hAnsi="Times New Roman"/>
        </w:rPr>
        <w:t xml:space="preserve">d </w:t>
      </w:r>
      <w:r>
        <w:rPr>
          <w:rFonts w:hint="eastAsia" w:ascii="Times New Roman" w:hAnsi="Times New Roman"/>
          <w:lang w:val="en-US" w:eastAsia="zh-CN"/>
        </w:rPr>
        <w:t>initial inputs for 52.6GHz-71GHz</w:t>
      </w:r>
      <w:r>
        <w:rPr>
          <w:rFonts w:hint="eastAsia" w:ascii="Times New Roman" w:hAnsi="Times New Roman" w:eastAsia="宋体"/>
          <w:lang w:val="en-US" w:eastAsia="zh-CN"/>
        </w:rPr>
        <w:t xml:space="preserve"> and proposal is made as following:</w:t>
      </w:r>
    </w:p>
    <w:p>
      <w:pPr>
        <w:pStyle w:val="29"/>
        <w:rPr>
          <w:rFonts w:hint="eastAsia" w:ascii="Times New Roman" w:hAnsi="Times New Roman"/>
          <w:b/>
          <w:bCs/>
          <w:szCs w:val="21"/>
          <w:lang w:val="en-US" w:eastAsia="zh-CN"/>
        </w:rPr>
      </w:pPr>
      <w:r>
        <w:rPr>
          <w:rFonts w:hint="eastAsia" w:ascii="Times New Roman" w:hAnsi="Times New Roman"/>
          <w:b/>
          <w:bCs/>
          <w:szCs w:val="21"/>
          <w:lang w:val="en-US" w:eastAsia="zh-CN"/>
        </w:rPr>
        <w:t>Proposal 1: to specify 2.16GHz, 4.32GHz, 6.48GHz, 8.64GHz channel bandwidth for NR system operating from 57GHz-66GHz.</w:t>
      </w:r>
    </w:p>
    <w:p>
      <w:pPr>
        <w:keepNext w:val="0"/>
        <w:keepLines w:val="0"/>
        <w:widowControl/>
        <w:suppressLineNumbers w:val="0"/>
        <w:pBdr>
          <w:top w:val="none" w:color="auto" w:sz="0" w:space="0"/>
          <w:left w:val="none" w:color="auto" w:sz="0" w:space="0"/>
          <w:bottom w:val="none" w:color="auto" w:sz="0" w:space="0"/>
        </w:pBdr>
        <w:wordWrap w:val="0"/>
        <w:jc w:val="both"/>
        <w:rPr>
          <w:rFonts w:hint="eastAsia" w:ascii="Times New Roman" w:hAnsi="Times New Roman"/>
          <w:b/>
          <w:bCs/>
          <w:kern w:val="2"/>
          <w:sz w:val="21"/>
          <w:szCs w:val="21"/>
          <w:lang w:val="en-US" w:eastAsia="zh-CN" w:bidi="ar-SA"/>
        </w:rPr>
      </w:pPr>
      <w:r>
        <w:rPr>
          <w:rFonts w:hint="eastAsia" w:ascii="Times New Roman" w:hAnsi="Times New Roman"/>
          <w:b/>
          <w:bCs/>
          <w:kern w:val="2"/>
          <w:sz w:val="21"/>
          <w:szCs w:val="21"/>
          <w:lang w:val="en-US" w:eastAsia="zh-CN" w:bidi="ar-SA"/>
        </w:rPr>
        <w:t xml:space="preserve">Proposal 2: to further increase the sampling rate to be higher than 1.96608GHz. </w:t>
      </w:r>
    </w:p>
    <w:p>
      <w:pPr>
        <w:pStyle w:val="29"/>
        <w:rPr>
          <w:rFonts w:hint="eastAsia" w:ascii="Times New Roman" w:hAnsi="Times New Roman"/>
          <w:b/>
          <w:bCs/>
          <w:lang w:val="en-US" w:eastAsia="zh-CN"/>
        </w:rPr>
      </w:pPr>
      <w:r>
        <w:rPr>
          <w:rFonts w:hint="eastAsia" w:ascii="Times New Roman" w:hAnsi="Times New Roman"/>
          <w:b/>
          <w:bCs/>
          <w:lang w:val="en-US" w:eastAsia="zh-CN"/>
        </w:rPr>
        <w:t>Proposal 3: to adopt the following candidate SCS and maximum FFT size is maintained as 4096 from 57-66GHz.</w:t>
      </w:r>
    </w:p>
    <w:tbl>
      <w:tblPr>
        <w:tblStyle w:val="28"/>
        <w:tblW w:w="3746" w:type="dxa"/>
        <w:jc w:val="center"/>
        <w:tblInd w:w="3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989"/>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SCS [KHz]</w:t>
            </w:r>
          </w:p>
        </w:tc>
        <w:tc>
          <w:tcPr>
            <w:tcW w:w="989"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FFT size</w:t>
            </w:r>
          </w:p>
        </w:tc>
        <w:tc>
          <w:tcPr>
            <w:tcW w:w="1542"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Sampling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eastAsia"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960</w:t>
            </w:r>
          </w:p>
        </w:tc>
        <w:tc>
          <w:tcPr>
            <w:tcW w:w="989" w:type="dxa"/>
            <w:vAlign w:val="top"/>
          </w:tcPr>
          <w:p>
            <w:pPr>
              <w:pStyle w:val="29"/>
              <w:rPr>
                <w:rFonts w:hint="eastAsia"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4096</w:t>
            </w:r>
          </w:p>
        </w:tc>
        <w:tc>
          <w:tcPr>
            <w:tcW w:w="1542" w:type="dxa"/>
            <w:vAlign w:val="bottom"/>
          </w:tcPr>
          <w:p>
            <w:pPr>
              <w:keepNext w:val="0"/>
              <w:keepLines w:val="0"/>
              <w:widowControl/>
              <w:suppressLineNumbers w:val="0"/>
              <w:pBdr>
                <w:top w:val="none" w:color="auto" w:sz="0" w:space="0"/>
                <w:left w:val="none" w:color="auto" w:sz="0" w:space="0"/>
                <w:bottom w:val="none" w:color="auto" w:sz="0" w:space="0"/>
              </w:pBdr>
              <w:wordWrap w:val="0"/>
              <w:jc w:val="both"/>
              <w:rPr>
                <w:rFonts w:hint="eastAsia" w:ascii="Times New Roman" w:hAnsi="Times New Roman" w:eastAsia="宋体"/>
                <w:lang w:val="en-US" w:eastAsia="zh-CN"/>
              </w:rPr>
            </w:pPr>
            <w:r>
              <w:rPr>
                <w:rFonts w:hint="eastAsia" w:ascii="Times New Roman" w:hAnsi="Times New Roman" w:eastAsia="宋体"/>
                <w:lang w:val="en-US" w:eastAsia="zh-CN"/>
              </w:rPr>
              <w:t>3.932160GHz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eastAsia"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1920</w:t>
            </w:r>
          </w:p>
        </w:tc>
        <w:tc>
          <w:tcPr>
            <w:tcW w:w="989" w:type="dxa"/>
            <w:vAlign w:val="top"/>
          </w:tcPr>
          <w:p>
            <w:pPr>
              <w:pStyle w:val="29"/>
              <w:rPr>
                <w:rFonts w:hint="eastAsia"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2048</w:t>
            </w:r>
          </w:p>
        </w:tc>
        <w:tc>
          <w:tcPr>
            <w:tcW w:w="1542" w:type="dxa"/>
            <w:vAlign w:val="bottom"/>
          </w:tcPr>
          <w:p>
            <w:pPr>
              <w:keepNext w:val="0"/>
              <w:keepLines w:val="0"/>
              <w:widowControl/>
              <w:suppressLineNumbers w:val="0"/>
              <w:pBdr>
                <w:top w:val="none" w:color="auto" w:sz="0" w:space="0"/>
                <w:left w:val="none" w:color="auto" w:sz="0" w:space="0"/>
                <w:bottom w:val="none" w:color="auto" w:sz="0" w:space="0"/>
              </w:pBdr>
              <w:wordWrap w:val="0"/>
              <w:jc w:val="both"/>
              <w:rPr>
                <w:rFonts w:hint="eastAsia" w:ascii="Times New Roman" w:hAnsi="Times New Roman" w:eastAsia="宋体"/>
                <w:lang w:val="en-US" w:eastAsia="zh-CN"/>
              </w:rPr>
            </w:pPr>
            <w:r>
              <w:rPr>
                <w:rFonts w:hint="eastAsia" w:ascii="Times New Roman" w:hAnsi="Times New Roman" w:eastAsia="宋体"/>
                <w:lang w:val="en-US" w:eastAsia="zh-CN"/>
              </w:rPr>
              <w:t>3.932160GHz</w:t>
            </w:r>
          </w:p>
        </w:tc>
      </w:tr>
    </w:tbl>
    <w:p>
      <w:pPr>
        <w:pStyle w:val="29"/>
        <w:rPr>
          <w:rFonts w:hint="eastAsia" w:ascii="Times New Roman" w:hAnsi="Times New Roman"/>
          <w:b/>
          <w:bCs/>
          <w:kern w:val="2"/>
          <w:sz w:val="21"/>
          <w:szCs w:val="21"/>
          <w:highlight w:val="none"/>
          <w:lang w:val="en-US" w:eastAsia="zh-CN" w:bidi="ar-SA"/>
        </w:rPr>
      </w:pPr>
      <w:r>
        <w:rPr>
          <w:rFonts w:hint="eastAsia" w:ascii="Times New Roman" w:hAnsi="Times New Roman" w:eastAsia="宋体"/>
          <w:b/>
          <w:bCs/>
          <w:kern w:val="2"/>
          <w:sz w:val="21"/>
          <w:szCs w:val="21"/>
          <w:highlight w:val="none"/>
          <w:lang w:val="en-US" w:eastAsia="zh-CN" w:bidi="ar-SA"/>
        </w:rPr>
        <w:t>Observation: 52.6-54.25GHz cannot be used for IMT and 54.25-57.24GHz is not identified for IMT in ITU-R yet.</w:t>
      </w:r>
    </w:p>
    <w:p>
      <w:pPr>
        <w:pStyle w:val="29"/>
      </w:pPr>
      <w:r>
        <w:rPr>
          <w:rFonts w:hint="eastAsia" w:ascii="Times New Roman" w:hAnsi="Times New Roman"/>
          <w:b/>
          <w:bCs/>
          <w:lang w:val="en-US" w:eastAsia="zh-CN"/>
        </w:rPr>
        <w:t>Proposal 4: to adopt the following candidate SCS and maximum FFT size is maintained as 4096 from 66-71GHz.</w:t>
      </w:r>
    </w:p>
    <w:tbl>
      <w:tblPr>
        <w:tblStyle w:val="28"/>
        <w:tblW w:w="3746" w:type="dxa"/>
        <w:jc w:val="center"/>
        <w:tblInd w:w="3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989"/>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SCS [KHz]</w:t>
            </w:r>
          </w:p>
        </w:tc>
        <w:tc>
          <w:tcPr>
            <w:tcW w:w="989"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FFT size</w:t>
            </w:r>
          </w:p>
        </w:tc>
        <w:tc>
          <w:tcPr>
            <w:tcW w:w="1542" w:type="dxa"/>
            <w:vAlign w:val="top"/>
          </w:tcPr>
          <w:p>
            <w:pPr>
              <w:pStyle w:val="29"/>
              <w:rPr>
                <w:rFonts w:hint="eastAsia" w:ascii="Times New Roman" w:hAnsi="Times New Roman"/>
                <w:b/>
                <w:bCs/>
                <w:szCs w:val="21"/>
                <w:vertAlign w:val="baseline"/>
                <w:lang w:val="en-US" w:eastAsia="zh-CN"/>
              </w:rPr>
            </w:pPr>
            <w:r>
              <w:rPr>
                <w:rFonts w:hint="eastAsia" w:ascii="Times New Roman" w:hAnsi="Times New Roman"/>
                <w:b/>
                <w:bCs/>
                <w:szCs w:val="21"/>
                <w:vertAlign w:val="baseline"/>
                <w:lang w:val="en-US" w:eastAsia="zh-CN"/>
              </w:rPr>
              <w:t>Sampling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120</w:t>
            </w:r>
          </w:p>
        </w:tc>
        <w:tc>
          <w:tcPr>
            <w:tcW w:w="989"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4096</w:t>
            </w:r>
          </w:p>
        </w:tc>
        <w:tc>
          <w:tcPr>
            <w:tcW w:w="1542" w:type="dxa"/>
            <w:vAlign w:val="bottom"/>
          </w:tcPr>
          <w:p>
            <w:pPr>
              <w:keepNext w:val="0"/>
              <w:keepLines w:val="0"/>
              <w:widowControl/>
              <w:suppressLineNumbers w:val="0"/>
              <w:jc w:val="both"/>
              <w:textAlignment w:val="bottom"/>
              <w:rPr>
                <w:rFonts w:hint="default" w:ascii="Times New Roman" w:hAnsi="Times New Roman" w:eastAsia="宋体"/>
                <w:lang w:val="en-US" w:eastAsia="zh-CN"/>
              </w:rPr>
            </w:pPr>
            <w:r>
              <w:rPr>
                <w:rFonts w:hint="eastAsia" w:ascii="Times New Roman" w:hAnsi="Times New Roman"/>
                <w:b w:val="0"/>
                <w:bCs w:val="0"/>
                <w:kern w:val="2"/>
                <w:sz w:val="21"/>
                <w:szCs w:val="21"/>
                <w:vertAlign w:val="baseline"/>
                <w:lang w:val="en-US" w:eastAsia="zh-CN" w:bidi="ar-SA"/>
              </w:rPr>
              <w:t>0.491520GHz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15"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240</w:t>
            </w:r>
          </w:p>
        </w:tc>
        <w:tc>
          <w:tcPr>
            <w:tcW w:w="989" w:type="dxa"/>
            <w:vAlign w:val="top"/>
          </w:tcPr>
          <w:p>
            <w:pPr>
              <w:pStyle w:val="29"/>
              <w:rPr>
                <w:rFonts w:hint="eastAsia"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4096</w:t>
            </w:r>
          </w:p>
        </w:tc>
        <w:tc>
          <w:tcPr>
            <w:tcW w:w="1542" w:type="dxa"/>
            <w:vAlign w:val="bottom"/>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0.983040GHz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480</w:t>
            </w:r>
          </w:p>
        </w:tc>
        <w:tc>
          <w:tcPr>
            <w:tcW w:w="989"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2048</w:t>
            </w:r>
          </w:p>
        </w:tc>
        <w:tc>
          <w:tcPr>
            <w:tcW w:w="1542" w:type="dxa"/>
            <w:vAlign w:val="bottom"/>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0.983040GHz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960</w:t>
            </w:r>
          </w:p>
        </w:tc>
        <w:tc>
          <w:tcPr>
            <w:tcW w:w="989" w:type="dxa"/>
            <w:vAlign w:val="top"/>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1024</w:t>
            </w:r>
          </w:p>
        </w:tc>
        <w:tc>
          <w:tcPr>
            <w:tcW w:w="1542" w:type="dxa"/>
            <w:vAlign w:val="bottom"/>
          </w:tcPr>
          <w:p>
            <w:pPr>
              <w:pStyle w:val="29"/>
              <w:rPr>
                <w:rFonts w:hint="default" w:ascii="Times New Roman" w:hAnsi="Times New Roman"/>
                <w:b w:val="0"/>
                <w:bCs w:val="0"/>
                <w:szCs w:val="21"/>
                <w:vertAlign w:val="baseline"/>
                <w:lang w:val="en-US" w:eastAsia="zh-CN"/>
              </w:rPr>
            </w:pPr>
            <w:r>
              <w:rPr>
                <w:rFonts w:hint="eastAsia" w:ascii="Times New Roman" w:hAnsi="Times New Roman"/>
                <w:b w:val="0"/>
                <w:bCs w:val="0"/>
                <w:szCs w:val="21"/>
                <w:vertAlign w:val="baseline"/>
                <w:lang w:val="en-US" w:eastAsia="zh-CN"/>
              </w:rPr>
              <w:t>0.983040GHz</w:t>
            </w:r>
          </w:p>
        </w:tc>
      </w:tr>
    </w:tbl>
    <w:p>
      <w:pPr>
        <w:pStyle w:val="42"/>
        <w:tabs>
          <w:tab w:val="left" w:pos="567"/>
          <w:tab w:val="clear" w:pos="1985"/>
        </w:tabs>
        <w:adjustRightInd w:val="0"/>
        <w:ind w:left="510" w:hanging="510"/>
        <w:rPr>
          <w:rFonts w:hint="eastAsia"/>
        </w:rPr>
      </w:pPr>
      <w:r>
        <w:t>References</w:t>
      </w:r>
    </w:p>
    <w:p>
      <w:pPr>
        <w:numPr>
          <w:ilvl w:val="0"/>
          <w:numId w:val="3"/>
        </w:numPr>
        <w:rPr>
          <w:rFonts w:hint="eastAsia" w:ascii="Times New Roman" w:hAnsi="Times New Roman"/>
          <w:kern w:val="2"/>
          <w:sz w:val="21"/>
          <w:szCs w:val="24"/>
          <w:lang w:val="en-US" w:eastAsia="zh-CN" w:bidi="ar-SA"/>
        </w:rPr>
      </w:pPr>
      <w:r>
        <w:rPr>
          <w:rFonts w:ascii="Times New Roman" w:hAnsi="Times New Roman"/>
          <w:kern w:val="2"/>
          <w:sz w:val="21"/>
          <w:szCs w:val="24"/>
          <w:lang w:val="en-US" w:eastAsia="zh-CN" w:bidi="ar-SA"/>
        </w:rPr>
        <w:t>RP-193259</w:t>
      </w:r>
      <w:r>
        <w:rPr>
          <w:rFonts w:hint="eastAsia" w:ascii="Times New Roman" w:hAnsi="Times New Roman"/>
          <w:kern w:val="2"/>
          <w:sz w:val="21"/>
          <w:szCs w:val="24"/>
          <w:lang w:val="en-US" w:eastAsia="zh-CN" w:bidi="ar-SA"/>
        </w:rPr>
        <w:t>,</w:t>
      </w:r>
      <w:r>
        <w:rPr>
          <w:rFonts w:ascii="Times New Roman" w:hAnsi="Times New Roman"/>
          <w:kern w:val="2"/>
          <w:sz w:val="21"/>
          <w:szCs w:val="24"/>
          <w:lang w:val="en-US" w:eastAsia="zh-CN" w:bidi="ar-SA"/>
        </w:rPr>
        <w:t>New SID: Study on supporting NR from 52.6GHz to 71 GHz</w:t>
      </w:r>
      <w:r>
        <w:rPr>
          <w:rFonts w:hint="eastAsia" w:ascii="Times New Roman" w:hAnsi="Times New Roman"/>
          <w:kern w:val="2"/>
          <w:sz w:val="21"/>
          <w:szCs w:val="24"/>
          <w:lang w:val="en-US" w:eastAsia="zh-CN" w:bidi="ar-SA"/>
        </w:rPr>
        <w:t>, Intel,approved.</w:t>
      </w:r>
    </w:p>
    <w:p>
      <w:pPr>
        <w:numPr>
          <w:ilvl w:val="0"/>
          <w:numId w:val="0"/>
        </w:numPr>
        <w:rPr>
          <w:rFonts w:hint="eastAsia" w:ascii="Times New Roman" w:hAnsi="Times New Roman"/>
          <w:kern w:val="2"/>
          <w:sz w:val="21"/>
          <w:szCs w:val="24"/>
          <w:lang w:val="en-US" w:eastAsia="zh-CN" w:bidi="ar-SA"/>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Times">
    <w:altName w:val="Times New Roman"/>
    <w:panose1 w:val="02020603050405020304"/>
    <w:charset w:val="00"/>
    <w:family w:val="roman"/>
    <w:pitch w:val="default"/>
    <w:sig w:usb0="E0002AFF" w:usb1="C0007841" w:usb2="00000009" w:usb3="00000000" w:csb0="000001F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249CD3"/>
    <w:multiLevelType w:val="singleLevel"/>
    <w:tmpl w:val="A3249CD3"/>
    <w:lvl w:ilvl="0" w:tentative="0">
      <w:start w:val="1"/>
      <w:numFmt w:val="decimal"/>
      <w:suff w:val="space"/>
      <w:lvlText w:val="[%1]"/>
      <w:lvlJc w:val="left"/>
    </w:lvl>
  </w:abstractNum>
  <w:abstractNum w:abstractNumId="1">
    <w:nsid w:val="380258B9"/>
    <w:multiLevelType w:val="multilevel"/>
    <w:tmpl w:val="380258B9"/>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4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6800B9"/>
    <w:rsid w:val="01821D8F"/>
    <w:rsid w:val="018C2266"/>
    <w:rsid w:val="0195201D"/>
    <w:rsid w:val="01A402CD"/>
    <w:rsid w:val="01A742A2"/>
    <w:rsid w:val="01BE6ACE"/>
    <w:rsid w:val="01C32135"/>
    <w:rsid w:val="01CB7A2C"/>
    <w:rsid w:val="01D518FC"/>
    <w:rsid w:val="01E1598F"/>
    <w:rsid w:val="01F60577"/>
    <w:rsid w:val="021042F2"/>
    <w:rsid w:val="021D2604"/>
    <w:rsid w:val="022F66E0"/>
    <w:rsid w:val="0238292F"/>
    <w:rsid w:val="024C13AB"/>
    <w:rsid w:val="028748E0"/>
    <w:rsid w:val="02CE3DD2"/>
    <w:rsid w:val="02DC6BBC"/>
    <w:rsid w:val="02E929C0"/>
    <w:rsid w:val="02ED07AB"/>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786ED3"/>
    <w:rsid w:val="048829D4"/>
    <w:rsid w:val="051034CD"/>
    <w:rsid w:val="053E1AC2"/>
    <w:rsid w:val="05583DC1"/>
    <w:rsid w:val="05816D10"/>
    <w:rsid w:val="05930F73"/>
    <w:rsid w:val="05BE42A5"/>
    <w:rsid w:val="05D16BC6"/>
    <w:rsid w:val="05EE3B4E"/>
    <w:rsid w:val="060D249E"/>
    <w:rsid w:val="06474EFD"/>
    <w:rsid w:val="064A35EA"/>
    <w:rsid w:val="064B521E"/>
    <w:rsid w:val="067570AB"/>
    <w:rsid w:val="06836FEC"/>
    <w:rsid w:val="068523FB"/>
    <w:rsid w:val="06A32A23"/>
    <w:rsid w:val="06A55EB9"/>
    <w:rsid w:val="06B548E2"/>
    <w:rsid w:val="06BA7F49"/>
    <w:rsid w:val="06BB4F9D"/>
    <w:rsid w:val="06F30672"/>
    <w:rsid w:val="06F35A7A"/>
    <w:rsid w:val="06F35AB6"/>
    <w:rsid w:val="06F66B05"/>
    <w:rsid w:val="072B7E46"/>
    <w:rsid w:val="072F2139"/>
    <w:rsid w:val="07430649"/>
    <w:rsid w:val="07436058"/>
    <w:rsid w:val="074E566F"/>
    <w:rsid w:val="074F3DF9"/>
    <w:rsid w:val="07537C92"/>
    <w:rsid w:val="075670A4"/>
    <w:rsid w:val="077F542D"/>
    <w:rsid w:val="077F5D16"/>
    <w:rsid w:val="07817B19"/>
    <w:rsid w:val="07916BE4"/>
    <w:rsid w:val="07AA3E51"/>
    <w:rsid w:val="07DD018B"/>
    <w:rsid w:val="07E014BE"/>
    <w:rsid w:val="07E85751"/>
    <w:rsid w:val="0835476E"/>
    <w:rsid w:val="084E0029"/>
    <w:rsid w:val="085D6C7E"/>
    <w:rsid w:val="08611CAF"/>
    <w:rsid w:val="0865781A"/>
    <w:rsid w:val="0866133E"/>
    <w:rsid w:val="08813C88"/>
    <w:rsid w:val="089852F1"/>
    <w:rsid w:val="089D6B7D"/>
    <w:rsid w:val="08B21918"/>
    <w:rsid w:val="08B94847"/>
    <w:rsid w:val="08C14001"/>
    <w:rsid w:val="09024174"/>
    <w:rsid w:val="0953050B"/>
    <w:rsid w:val="09582472"/>
    <w:rsid w:val="096308E4"/>
    <w:rsid w:val="096B649C"/>
    <w:rsid w:val="096F1D52"/>
    <w:rsid w:val="09796C44"/>
    <w:rsid w:val="098344BC"/>
    <w:rsid w:val="099A4E96"/>
    <w:rsid w:val="09A64698"/>
    <w:rsid w:val="09AC5074"/>
    <w:rsid w:val="09AD07F3"/>
    <w:rsid w:val="09B14A34"/>
    <w:rsid w:val="09F324C9"/>
    <w:rsid w:val="0A093274"/>
    <w:rsid w:val="0A2705E1"/>
    <w:rsid w:val="0A2A6A0B"/>
    <w:rsid w:val="0A312533"/>
    <w:rsid w:val="0A3A0D5D"/>
    <w:rsid w:val="0A5056C6"/>
    <w:rsid w:val="0A5060D6"/>
    <w:rsid w:val="0A7200B0"/>
    <w:rsid w:val="0A771CA5"/>
    <w:rsid w:val="0A843B9D"/>
    <w:rsid w:val="0A8621F2"/>
    <w:rsid w:val="0A8F1F9F"/>
    <w:rsid w:val="0A9B6BF5"/>
    <w:rsid w:val="0AB329A9"/>
    <w:rsid w:val="0ACD4245"/>
    <w:rsid w:val="0B110AC0"/>
    <w:rsid w:val="0B1157EF"/>
    <w:rsid w:val="0B1765E0"/>
    <w:rsid w:val="0B1C1D7C"/>
    <w:rsid w:val="0B22066E"/>
    <w:rsid w:val="0B3F2432"/>
    <w:rsid w:val="0B4D5218"/>
    <w:rsid w:val="0B622E13"/>
    <w:rsid w:val="0B717521"/>
    <w:rsid w:val="0B892782"/>
    <w:rsid w:val="0BB2460A"/>
    <w:rsid w:val="0BB53F3C"/>
    <w:rsid w:val="0BC739F0"/>
    <w:rsid w:val="0BE17727"/>
    <w:rsid w:val="0BF427F9"/>
    <w:rsid w:val="0C0C632D"/>
    <w:rsid w:val="0C3C0AB0"/>
    <w:rsid w:val="0C6038EF"/>
    <w:rsid w:val="0C654C73"/>
    <w:rsid w:val="0C751214"/>
    <w:rsid w:val="0C780533"/>
    <w:rsid w:val="0C85742B"/>
    <w:rsid w:val="0C873353"/>
    <w:rsid w:val="0C8A3D13"/>
    <w:rsid w:val="0C8B4B61"/>
    <w:rsid w:val="0C914282"/>
    <w:rsid w:val="0C9D3F03"/>
    <w:rsid w:val="0CA92BAC"/>
    <w:rsid w:val="0CB90F2E"/>
    <w:rsid w:val="0CD76D7B"/>
    <w:rsid w:val="0D04575D"/>
    <w:rsid w:val="0D0612B8"/>
    <w:rsid w:val="0D066A9C"/>
    <w:rsid w:val="0D0714BC"/>
    <w:rsid w:val="0D1A52C8"/>
    <w:rsid w:val="0D2767B5"/>
    <w:rsid w:val="0D5800C7"/>
    <w:rsid w:val="0D6A353C"/>
    <w:rsid w:val="0DA060E8"/>
    <w:rsid w:val="0DCE36F3"/>
    <w:rsid w:val="0DD621E4"/>
    <w:rsid w:val="0DDE1317"/>
    <w:rsid w:val="0E0313B1"/>
    <w:rsid w:val="0E0D1A47"/>
    <w:rsid w:val="0E3217E8"/>
    <w:rsid w:val="0E5E2B07"/>
    <w:rsid w:val="0E771E51"/>
    <w:rsid w:val="0E8118C0"/>
    <w:rsid w:val="0EAB3793"/>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587218"/>
    <w:rsid w:val="0F7C4621"/>
    <w:rsid w:val="0F80243B"/>
    <w:rsid w:val="0FAD0019"/>
    <w:rsid w:val="0FAD3299"/>
    <w:rsid w:val="0FB31343"/>
    <w:rsid w:val="0FC12836"/>
    <w:rsid w:val="0FD95333"/>
    <w:rsid w:val="0FF65D55"/>
    <w:rsid w:val="10045EE6"/>
    <w:rsid w:val="103A7991"/>
    <w:rsid w:val="10462479"/>
    <w:rsid w:val="104B2D15"/>
    <w:rsid w:val="10674DB0"/>
    <w:rsid w:val="107374A2"/>
    <w:rsid w:val="10886883"/>
    <w:rsid w:val="108A2129"/>
    <w:rsid w:val="10924B2D"/>
    <w:rsid w:val="10953B42"/>
    <w:rsid w:val="10CC5735"/>
    <w:rsid w:val="10FA45D2"/>
    <w:rsid w:val="11024527"/>
    <w:rsid w:val="110A4489"/>
    <w:rsid w:val="111A28E5"/>
    <w:rsid w:val="112F54D2"/>
    <w:rsid w:val="1133321C"/>
    <w:rsid w:val="11576536"/>
    <w:rsid w:val="117824F0"/>
    <w:rsid w:val="117E2370"/>
    <w:rsid w:val="11B66269"/>
    <w:rsid w:val="11BA0839"/>
    <w:rsid w:val="11F267E8"/>
    <w:rsid w:val="1210456D"/>
    <w:rsid w:val="121729B6"/>
    <w:rsid w:val="122C6138"/>
    <w:rsid w:val="125A02CC"/>
    <w:rsid w:val="12845278"/>
    <w:rsid w:val="128E70AD"/>
    <w:rsid w:val="12B1068C"/>
    <w:rsid w:val="12C77089"/>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3FE285E"/>
    <w:rsid w:val="144C6544"/>
    <w:rsid w:val="14812D74"/>
    <w:rsid w:val="14836C15"/>
    <w:rsid w:val="14862300"/>
    <w:rsid w:val="14A82A63"/>
    <w:rsid w:val="14AC358C"/>
    <w:rsid w:val="14B76730"/>
    <w:rsid w:val="14DE753E"/>
    <w:rsid w:val="151B0462"/>
    <w:rsid w:val="151C45D8"/>
    <w:rsid w:val="15290336"/>
    <w:rsid w:val="155B1745"/>
    <w:rsid w:val="155F651D"/>
    <w:rsid w:val="15655F19"/>
    <w:rsid w:val="157348EB"/>
    <w:rsid w:val="15787FE5"/>
    <w:rsid w:val="157E21FE"/>
    <w:rsid w:val="15AA7A19"/>
    <w:rsid w:val="15AC5259"/>
    <w:rsid w:val="15B06B12"/>
    <w:rsid w:val="15BE3D9D"/>
    <w:rsid w:val="15D4474D"/>
    <w:rsid w:val="15D7597F"/>
    <w:rsid w:val="161C3234"/>
    <w:rsid w:val="162E229F"/>
    <w:rsid w:val="1641433F"/>
    <w:rsid w:val="165C4863"/>
    <w:rsid w:val="1663476A"/>
    <w:rsid w:val="166C0D1B"/>
    <w:rsid w:val="167344C7"/>
    <w:rsid w:val="16794785"/>
    <w:rsid w:val="16A65B92"/>
    <w:rsid w:val="16AD0A57"/>
    <w:rsid w:val="16BA18A0"/>
    <w:rsid w:val="16C41FCF"/>
    <w:rsid w:val="16E7220A"/>
    <w:rsid w:val="170133DA"/>
    <w:rsid w:val="170259E1"/>
    <w:rsid w:val="170353FD"/>
    <w:rsid w:val="171053FC"/>
    <w:rsid w:val="17382580"/>
    <w:rsid w:val="175E4288"/>
    <w:rsid w:val="176C704A"/>
    <w:rsid w:val="17844C56"/>
    <w:rsid w:val="17A30F12"/>
    <w:rsid w:val="17BA48D6"/>
    <w:rsid w:val="17D77CA7"/>
    <w:rsid w:val="17DD34AB"/>
    <w:rsid w:val="17FE0B0A"/>
    <w:rsid w:val="17FE0C9F"/>
    <w:rsid w:val="17FF3C9D"/>
    <w:rsid w:val="18221C6C"/>
    <w:rsid w:val="18235E85"/>
    <w:rsid w:val="187640ED"/>
    <w:rsid w:val="18804AA7"/>
    <w:rsid w:val="18A16B9A"/>
    <w:rsid w:val="18B417E1"/>
    <w:rsid w:val="18E872D7"/>
    <w:rsid w:val="18F931E6"/>
    <w:rsid w:val="18FA042B"/>
    <w:rsid w:val="18FE4771"/>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A045B87"/>
    <w:rsid w:val="1A5F7253"/>
    <w:rsid w:val="1A725418"/>
    <w:rsid w:val="1A7A2EF9"/>
    <w:rsid w:val="1A7F4EDC"/>
    <w:rsid w:val="1A960E81"/>
    <w:rsid w:val="1A9A0C93"/>
    <w:rsid w:val="1AB359A1"/>
    <w:rsid w:val="1ABD31B9"/>
    <w:rsid w:val="1ACE2A77"/>
    <w:rsid w:val="1ADA6731"/>
    <w:rsid w:val="1ADC2627"/>
    <w:rsid w:val="1AF34AE5"/>
    <w:rsid w:val="1AF84C8C"/>
    <w:rsid w:val="1AFE2079"/>
    <w:rsid w:val="1B00502A"/>
    <w:rsid w:val="1B0B3B20"/>
    <w:rsid w:val="1B1613A0"/>
    <w:rsid w:val="1B2A7E36"/>
    <w:rsid w:val="1B324397"/>
    <w:rsid w:val="1B372EB9"/>
    <w:rsid w:val="1B5D3106"/>
    <w:rsid w:val="1B7906CE"/>
    <w:rsid w:val="1B7D07F3"/>
    <w:rsid w:val="1B831B2B"/>
    <w:rsid w:val="1BA57F07"/>
    <w:rsid w:val="1BA91D82"/>
    <w:rsid w:val="1BB848C7"/>
    <w:rsid w:val="1BD91032"/>
    <w:rsid w:val="1C0D60C9"/>
    <w:rsid w:val="1C33796F"/>
    <w:rsid w:val="1C441419"/>
    <w:rsid w:val="1C561E66"/>
    <w:rsid w:val="1C6D4144"/>
    <w:rsid w:val="1C793EB9"/>
    <w:rsid w:val="1C807142"/>
    <w:rsid w:val="1C9A166E"/>
    <w:rsid w:val="1CB702E9"/>
    <w:rsid w:val="1CBE5026"/>
    <w:rsid w:val="1CF333A5"/>
    <w:rsid w:val="1D0B731D"/>
    <w:rsid w:val="1D2054C4"/>
    <w:rsid w:val="1D563E2F"/>
    <w:rsid w:val="1D6F79AF"/>
    <w:rsid w:val="1D8F5B72"/>
    <w:rsid w:val="1D8F6826"/>
    <w:rsid w:val="1D9C5DA0"/>
    <w:rsid w:val="1D9F462B"/>
    <w:rsid w:val="1DA265B5"/>
    <w:rsid w:val="1DDC21D2"/>
    <w:rsid w:val="1DEC45ED"/>
    <w:rsid w:val="1E224747"/>
    <w:rsid w:val="1E304B88"/>
    <w:rsid w:val="1E3E02E7"/>
    <w:rsid w:val="1E680B85"/>
    <w:rsid w:val="1E9D55A8"/>
    <w:rsid w:val="1EA13E87"/>
    <w:rsid w:val="1EBF66CC"/>
    <w:rsid w:val="1EC11B39"/>
    <w:rsid w:val="1ED94E25"/>
    <w:rsid w:val="1EDB6C5F"/>
    <w:rsid w:val="1EE6740D"/>
    <w:rsid w:val="1F141EF2"/>
    <w:rsid w:val="1F3C6AF7"/>
    <w:rsid w:val="1F405E44"/>
    <w:rsid w:val="1F4E681F"/>
    <w:rsid w:val="1F5324C1"/>
    <w:rsid w:val="1F6833F6"/>
    <w:rsid w:val="1F7959F4"/>
    <w:rsid w:val="1F7C19E4"/>
    <w:rsid w:val="1F83562C"/>
    <w:rsid w:val="1FBD7AAE"/>
    <w:rsid w:val="1FBE77B2"/>
    <w:rsid w:val="1FC26AB9"/>
    <w:rsid w:val="1FE91483"/>
    <w:rsid w:val="1FED166B"/>
    <w:rsid w:val="2000119F"/>
    <w:rsid w:val="201359DF"/>
    <w:rsid w:val="201C304F"/>
    <w:rsid w:val="203B1416"/>
    <w:rsid w:val="203C2005"/>
    <w:rsid w:val="204D7AED"/>
    <w:rsid w:val="204F595B"/>
    <w:rsid w:val="206301A7"/>
    <w:rsid w:val="20642E89"/>
    <w:rsid w:val="206F7CD5"/>
    <w:rsid w:val="20934FE0"/>
    <w:rsid w:val="209A17A4"/>
    <w:rsid w:val="20A70ABE"/>
    <w:rsid w:val="20B836F9"/>
    <w:rsid w:val="20C10077"/>
    <w:rsid w:val="20C261C8"/>
    <w:rsid w:val="20C96FD1"/>
    <w:rsid w:val="20D562D7"/>
    <w:rsid w:val="20E12D32"/>
    <w:rsid w:val="20E35BDE"/>
    <w:rsid w:val="20E9348D"/>
    <w:rsid w:val="20F667B9"/>
    <w:rsid w:val="210D2CDA"/>
    <w:rsid w:val="212F6A59"/>
    <w:rsid w:val="21306305"/>
    <w:rsid w:val="213D54AD"/>
    <w:rsid w:val="214169BB"/>
    <w:rsid w:val="215C040C"/>
    <w:rsid w:val="217C7971"/>
    <w:rsid w:val="217D44BC"/>
    <w:rsid w:val="21997056"/>
    <w:rsid w:val="219D3F2A"/>
    <w:rsid w:val="21AB77F7"/>
    <w:rsid w:val="21BF03BC"/>
    <w:rsid w:val="21D06D34"/>
    <w:rsid w:val="21D52CEC"/>
    <w:rsid w:val="2209399D"/>
    <w:rsid w:val="22101F8E"/>
    <w:rsid w:val="221306C1"/>
    <w:rsid w:val="2225227E"/>
    <w:rsid w:val="224E74D0"/>
    <w:rsid w:val="228A008B"/>
    <w:rsid w:val="229A7E25"/>
    <w:rsid w:val="22B059F5"/>
    <w:rsid w:val="22BD504B"/>
    <w:rsid w:val="22D61781"/>
    <w:rsid w:val="22F017B2"/>
    <w:rsid w:val="230B07F6"/>
    <w:rsid w:val="23143B37"/>
    <w:rsid w:val="231637F9"/>
    <w:rsid w:val="23230E78"/>
    <w:rsid w:val="233027B0"/>
    <w:rsid w:val="23415924"/>
    <w:rsid w:val="235924CA"/>
    <w:rsid w:val="237B7D6C"/>
    <w:rsid w:val="238755B6"/>
    <w:rsid w:val="239130F2"/>
    <w:rsid w:val="239B728F"/>
    <w:rsid w:val="23BD6F6C"/>
    <w:rsid w:val="23C80F4A"/>
    <w:rsid w:val="23D33566"/>
    <w:rsid w:val="23D9762E"/>
    <w:rsid w:val="24137B5B"/>
    <w:rsid w:val="24176341"/>
    <w:rsid w:val="24211333"/>
    <w:rsid w:val="242461D7"/>
    <w:rsid w:val="242C04D9"/>
    <w:rsid w:val="242E2FF6"/>
    <w:rsid w:val="242E7ECB"/>
    <w:rsid w:val="244F2484"/>
    <w:rsid w:val="24574CEB"/>
    <w:rsid w:val="245D41D2"/>
    <w:rsid w:val="2466691E"/>
    <w:rsid w:val="24667266"/>
    <w:rsid w:val="24731A96"/>
    <w:rsid w:val="247A5C3A"/>
    <w:rsid w:val="248907B2"/>
    <w:rsid w:val="249A5E20"/>
    <w:rsid w:val="249C2676"/>
    <w:rsid w:val="249C6208"/>
    <w:rsid w:val="24BD38BA"/>
    <w:rsid w:val="252053F9"/>
    <w:rsid w:val="25467DBB"/>
    <w:rsid w:val="25473E3C"/>
    <w:rsid w:val="256343AC"/>
    <w:rsid w:val="257F18B5"/>
    <w:rsid w:val="25805FF5"/>
    <w:rsid w:val="258F15BB"/>
    <w:rsid w:val="259231BD"/>
    <w:rsid w:val="25A74490"/>
    <w:rsid w:val="25A77DD4"/>
    <w:rsid w:val="260B255C"/>
    <w:rsid w:val="261537BD"/>
    <w:rsid w:val="26217848"/>
    <w:rsid w:val="262E20E8"/>
    <w:rsid w:val="262E34C1"/>
    <w:rsid w:val="2640682F"/>
    <w:rsid w:val="264B458E"/>
    <w:rsid w:val="26510DB8"/>
    <w:rsid w:val="26667EB2"/>
    <w:rsid w:val="266B1FB8"/>
    <w:rsid w:val="267E518B"/>
    <w:rsid w:val="26872779"/>
    <w:rsid w:val="269B3F13"/>
    <w:rsid w:val="26A4288C"/>
    <w:rsid w:val="26C36DE5"/>
    <w:rsid w:val="26F40E3F"/>
    <w:rsid w:val="26F40EBD"/>
    <w:rsid w:val="272A3F42"/>
    <w:rsid w:val="274A7B1A"/>
    <w:rsid w:val="275439E1"/>
    <w:rsid w:val="276320D7"/>
    <w:rsid w:val="279408D2"/>
    <w:rsid w:val="27B02558"/>
    <w:rsid w:val="27B91021"/>
    <w:rsid w:val="27C06D17"/>
    <w:rsid w:val="280008FF"/>
    <w:rsid w:val="28050D91"/>
    <w:rsid w:val="281035C6"/>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981CF5"/>
    <w:rsid w:val="29A4634A"/>
    <w:rsid w:val="29A84DD1"/>
    <w:rsid w:val="29CD2270"/>
    <w:rsid w:val="29EB2636"/>
    <w:rsid w:val="29F26903"/>
    <w:rsid w:val="2A3B063B"/>
    <w:rsid w:val="2A49761F"/>
    <w:rsid w:val="2A630308"/>
    <w:rsid w:val="2A676AD0"/>
    <w:rsid w:val="2A687AA6"/>
    <w:rsid w:val="2A770CC7"/>
    <w:rsid w:val="2A9A66D4"/>
    <w:rsid w:val="2AAC36BD"/>
    <w:rsid w:val="2AB04937"/>
    <w:rsid w:val="2ACF5AEC"/>
    <w:rsid w:val="2AD62AB0"/>
    <w:rsid w:val="2ADE1583"/>
    <w:rsid w:val="2AE70523"/>
    <w:rsid w:val="2B2D1363"/>
    <w:rsid w:val="2B42025A"/>
    <w:rsid w:val="2B450516"/>
    <w:rsid w:val="2B592A46"/>
    <w:rsid w:val="2B686C09"/>
    <w:rsid w:val="2B8B34AB"/>
    <w:rsid w:val="2B914C5E"/>
    <w:rsid w:val="2BB44220"/>
    <w:rsid w:val="2BB61EA7"/>
    <w:rsid w:val="2BBA6EF5"/>
    <w:rsid w:val="2BC03979"/>
    <w:rsid w:val="2BC941AF"/>
    <w:rsid w:val="2BEC4F7F"/>
    <w:rsid w:val="2BF51B27"/>
    <w:rsid w:val="2C11705A"/>
    <w:rsid w:val="2C1216FD"/>
    <w:rsid w:val="2C1F2C4F"/>
    <w:rsid w:val="2C5514C6"/>
    <w:rsid w:val="2C5C2032"/>
    <w:rsid w:val="2C72088D"/>
    <w:rsid w:val="2C7D6665"/>
    <w:rsid w:val="2C865A05"/>
    <w:rsid w:val="2C8B0557"/>
    <w:rsid w:val="2CBC4209"/>
    <w:rsid w:val="2CDC7091"/>
    <w:rsid w:val="2CF8244C"/>
    <w:rsid w:val="2D0E231B"/>
    <w:rsid w:val="2D1A1A6B"/>
    <w:rsid w:val="2D1A4915"/>
    <w:rsid w:val="2D400A9F"/>
    <w:rsid w:val="2D47098C"/>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705752"/>
    <w:rsid w:val="2EA26ABE"/>
    <w:rsid w:val="2EB61295"/>
    <w:rsid w:val="2EEA307E"/>
    <w:rsid w:val="2EF53C20"/>
    <w:rsid w:val="2EFC5DDD"/>
    <w:rsid w:val="2F002CCF"/>
    <w:rsid w:val="2F0160A3"/>
    <w:rsid w:val="2F2960CC"/>
    <w:rsid w:val="2F2F3D52"/>
    <w:rsid w:val="2F3B7B8B"/>
    <w:rsid w:val="2F805714"/>
    <w:rsid w:val="2F8E5F5C"/>
    <w:rsid w:val="2FA21231"/>
    <w:rsid w:val="2FAD4759"/>
    <w:rsid w:val="2FCA0967"/>
    <w:rsid w:val="2FF117AD"/>
    <w:rsid w:val="2FF95633"/>
    <w:rsid w:val="300F7F13"/>
    <w:rsid w:val="301E3C00"/>
    <w:rsid w:val="30500A5C"/>
    <w:rsid w:val="30752E77"/>
    <w:rsid w:val="3090288F"/>
    <w:rsid w:val="309B0ABF"/>
    <w:rsid w:val="309B0CFB"/>
    <w:rsid w:val="309E4272"/>
    <w:rsid w:val="30DC45E8"/>
    <w:rsid w:val="30DD6027"/>
    <w:rsid w:val="30DE16AB"/>
    <w:rsid w:val="30F44A95"/>
    <w:rsid w:val="30FA21D8"/>
    <w:rsid w:val="311D5B14"/>
    <w:rsid w:val="31647576"/>
    <w:rsid w:val="31665E5D"/>
    <w:rsid w:val="316D6950"/>
    <w:rsid w:val="31822EAF"/>
    <w:rsid w:val="31A53A0B"/>
    <w:rsid w:val="31B23BA8"/>
    <w:rsid w:val="31CA5CF8"/>
    <w:rsid w:val="31CB26CD"/>
    <w:rsid w:val="31D06A52"/>
    <w:rsid w:val="31F20023"/>
    <w:rsid w:val="31FB60C5"/>
    <w:rsid w:val="32226597"/>
    <w:rsid w:val="324968A9"/>
    <w:rsid w:val="327E6AD8"/>
    <w:rsid w:val="32946A84"/>
    <w:rsid w:val="32BC6631"/>
    <w:rsid w:val="32D14A7F"/>
    <w:rsid w:val="32F86450"/>
    <w:rsid w:val="330244A4"/>
    <w:rsid w:val="331C390F"/>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83239"/>
    <w:rsid w:val="34E972FC"/>
    <w:rsid w:val="34FF2166"/>
    <w:rsid w:val="35333FF2"/>
    <w:rsid w:val="353E791E"/>
    <w:rsid w:val="354008AB"/>
    <w:rsid w:val="354C7B38"/>
    <w:rsid w:val="354F28B8"/>
    <w:rsid w:val="355D687A"/>
    <w:rsid w:val="35744059"/>
    <w:rsid w:val="35771AC2"/>
    <w:rsid w:val="357960B4"/>
    <w:rsid w:val="35A0338E"/>
    <w:rsid w:val="35A31A0A"/>
    <w:rsid w:val="35AB5D7D"/>
    <w:rsid w:val="35C154C0"/>
    <w:rsid w:val="35C7584B"/>
    <w:rsid w:val="35DD2AEE"/>
    <w:rsid w:val="35EA6509"/>
    <w:rsid w:val="35F44E5C"/>
    <w:rsid w:val="35F45994"/>
    <w:rsid w:val="3602050E"/>
    <w:rsid w:val="36101A49"/>
    <w:rsid w:val="36265F04"/>
    <w:rsid w:val="36297754"/>
    <w:rsid w:val="363F4D43"/>
    <w:rsid w:val="36627C0A"/>
    <w:rsid w:val="36693B36"/>
    <w:rsid w:val="366B0AAA"/>
    <w:rsid w:val="36752210"/>
    <w:rsid w:val="36922B55"/>
    <w:rsid w:val="36991125"/>
    <w:rsid w:val="36B121C7"/>
    <w:rsid w:val="36D27C18"/>
    <w:rsid w:val="36D512A9"/>
    <w:rsid w:val="36F414F3"/>
    <w:rsid w:val="370974B4"/>
    <w:rsid w:val="371E6151"/>
    <w:rsid w:val="37277663"/>
    <w:rsid w:val="37357964"/>
    <w:rsid w:val="37446333"/>
    <w:rsid w:val="37446A77"/>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F19E6"/>
    <w:rsid w:val="383B2EED"/>
    <w:rsid w:val="384C2D57"/>
    <w:rsid w:val="386A1921"/>
    <w:rsid w:val="38894DA5"/>
    <w:rsid w:val="38981AB5"/>
    <w:rsid w:val="38A40C18"/>
    <w:rsid w:val="38AB306B"/>
    <w:rsid w:val="38BF2270"/>
    <w:rsid w:val="38C33701"/>
    <w:rsid w:val="38C43916"/>
    <w:rsid w:val="38D504F4"/>
    <w:rsid w:val="38D95A84"/>
    <w:rsid w:val="38E11AA1"/>
    <w:rsid w:val="38E46191"/>
    <w:rsid w:val="38F50C85"/>
    <w:rsid w:val="393544DD"/>
    <w:rsid w:val="393962EC"/>
    <w:rsid w:val="394935B8"/>
    <w:rsid w:val="394C557A"/>
    <w:rsid w:val="3952190F"/>
    <w:rsid w:val="395753F2"/>
    <w:rsid w:val="39834074"/>
    <w:rsid w:val="39880925"/>
    <w:rsid w:val="39885108"/>
    <w:rsid w:val="399602F5"/>
    <w:rsid w:val="399B5B0D"/>
    <w:rsid w:val="39BB78F7"/>
    <w:rsid w:val="39C46549"/>
    <w:rsid w:val="39CA1A60"/>
    <w:rsid w:val="39D3749A"/>
    <w:rsid w:val="39DD49C2"/>
    <w:rsid w:val="39DD4ACE"/>
    <w:rsid w:val="39EC7454"/>
    <w:rsid w:val="3A237175"/>
    <w:rsid w:val="3A796E46"/>
    <w:rsid w:val="3A9A224E"/>
    <w:rsid w:val="3A9D2551"/>
    <w:rsid w:val="3AA97F70"/>
    <w:rsid w:val="3ABF42F5"/>
    <w:rsid w:val="3ADD01CA"/>
    <w:rsid w:val="3AFD37D0"/>
    <w:rsid w:val="3B016EE9"/>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A38C3"/>
    <w:rsid w:val="3CB36CF4"/>
    <w:rsid w:val="3CBA78F5"/>
    <w:rsid w:val="3CC26B63"/>
    <w:rsid w:val="3CCE2CA3"/>
    <w:rsid w:val="3CD71E34"/>
    <w:rsid w:val="3CE30EB1"/>
    <w:rsid w:val="3CE54B9F"/>
    <w:rsid w:val="3D272F24"/>
    <w:rsid w:val="3D58163A"/>
    <w:rsid w:val="3D5A05E2"/>
    <w:rsid w:val="3D5C63D4"/>
    <w:rsid w:val="3D7618FA"/>
    <w:rsid w:val="3D791797"/>
    <w:rsid w:val="3D8522AA"/>
    <w:rsid w:val="3D9A0655"/>
    <w:rsid w:val="3DE548AC"/>
    <w:rsid w:val="3DE653F8"/>
    <w:rsid w:val="3DE72673"/>
    <w:rsid w:val="3DEB1255"/>
    <w:rsid w:val="3E0F25EA"/>
    <w:rsid w:val="3E146F59"/>
    <w:rsid w:val="3E237BCC"/>
    <w:rsid w:val="3E3419DC"/>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952814"/>
    <w:rsid w:val="3FA41C63"/>
    <w:rsid w:val="3FAB3D87"/>
    <w:rsid w:val="3FAB41A2"/>
    <w:rsid w:val="3FAE47F6"/>
    <w:rsid w:val="400A1CFC"/>
    <w:rsid w:val="40400533"/>
    <w:rsid w:val="406D461C"/>
    <w:rsid w:val="406F7D87"/>
    <w:rsid w:val="40825FDB"/>
    <w:rsid w:val="40907287"/>
    <w:rsid w:val="40BD153A"/>
    <w:rsid w:val="40CD7BD8"/>
    <w:rsid w:val="40D07371"/>
    <w:rsid w:val="40F1013C"/>
    <w:rsid w:val="412506DF"/>
    <w:rsid w:val="414F41D7"/>
    <w:rsid w:val="414F7876"/>
    <w:rsid w:val="415A0FEF"/>
    <w:rsid w:val="416C15E7"/>
    <w:rsid w:val="416E039C"/>
    <w:rsid w:val="41800377"/>
    <w:rsid w:val="418B26ED"/>
    <w:rsid w:val="41A63744"/>
    <w:rsid w:val="41AC6BA3"/>
    <w:rsid w:val="41AD5F07"/>
    <w:rsid w:val="41B730A3"/>
    <w:rsid w:val="41B737E0"/>
    <w:rsid w:val="41B77B6D"/>
    <w:rsid w:val="41D1580B"/>
    <w:rsid w:val="41DC5EDF"/>
    <w:rsid w:val="41F24303"/>
    <w:rsid w:val="41F52080"/>
    <w:rsid w:val="420850A2"/>
    <w:rsid w:val="422E207E"/>
    <w:rsid w:val="42571AE1"/>
    <w:rsid w:val="42697E79"/>
    <w:rsid w:val="42730E0D"/>
    <w:rsid w:val="427409B9"/>
    <w:rsid w:val="42831021"/>
    <w:rsid w:val="42873CB7"/>
    <w:rsid w:val="42A87389"/>
    <w:rsid w:val="42D67001"/>
    <w:rsid w:val="42E06A10"/>
    <w:rsid w:val="43112BE5"/>
    <w:rsid w:val="431B56C6"/>
    <w:rsid w:val="432E5E21"/>
    <w:rsid w:val="433D2335"/>
    <w:rsid w:val="43456ED6"/>
    <w:rsid w:val="436A2192"/>
    <w:rsid w:val="439C3431"/>
    <w:rsid w:val="439D0E7C"/>
    <w:rsid w:val="43A846F3"/>
    <w:rsid w:val="43D67A91"/>
    <w:rsid w:val="43E21F58"/>
    <w:rsid w:val="43F76F69"/>
    <w:rsid w:val="43FC0DB2"/>
    <w:rsid w:val="44584267"/>
    <w:rsid w:val="447B4A66"/>
    <w:rsid w:val="447D4136"/>
    <w:rsid w:val="448B5845"/>
    <w:rsid w:val="44B53006"/>
    <w:rsid w:val="44C87C0F"/>
    <w:rsid w:val="44DF6F1B"/>
    <w:rsid w:val="45184EE6"/>
    <w:rsid w:val="454E4F75"/>
    <w:rsid w:val="454E6B7A"/>
    <w:rsid w:val="457736FF"/>
    <w:rsid w:val="45790DCE"/>
    <w:rsid w:val="458B757C"/>
    <w:rsid w:val="45917B8A"/>
    <w:rsid w:val="45E826B2"/>
    <w:rsid w:val="45F4334C"/>
    <w:rsid w:val="46466453"/>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351654"/>
    <w:rsid w:val="47457188"/>
    <w:rsid w:val="47666951"/>
    <w:rsid w:val="47683159"/>
    <w:rsid w:val="479D7800"/>
    <w:rsid w:val="47DD6A91"/>
    <w:rsid w:val="47EB0853"/>
    <w:rsid w:val="47FA20F9"/>
    <w:rsid w:val="47FF3A74"/>
    <w:rsid w:val="480B7A59"/>
    <w:rsid w:val="48111DC2"/>
    <w:rsid w:val="482D350F"/>
    <w:rsid w:val="483C2A8C"/>
    <w:rsid w:val="48424FA1"/>
    <w:rsid w:val="484647AE"/>
    <w:rsid w:val="484F1901"/>
    <w:rsid w:val="485D5413"/>
    <w:rsid w:val="48677DC6"/>
    <w:rsid w:val="48740F16"/>
    <w:rsid w:val="48850976"/>
    <w:rsid w:val="48942964"/>
    <w:rsid w:val="48A36B1C"/>
    <w:rsid w:val="48A76BEF"/>
    <w:rsid w:val="48AF255D"/>
    <w:rsid w:val="48B16C29"/>
    <w:rsid w:val="48DC218B"/>
    <w:rsid w:val="49075A63"/>
    <w:rsid w:val="492F229B"/>
    <w:rsid w:val="4935171C"/>
    <w:rsid w:val="495C3370"/>
    <w:rsid w:val="496409A2"/>
    <w:rsid w:val="49707759"/>
    <w:rsid w:val="49927DFC"/>
    <w:rsid w:val="4995554E"/>
    <w:rsid w:val="499B3646"/>
    <w:rsid w:val="499C3504"/>
    <w:rsid w:val="49A43EE6"/>
    <w:rsid w:val="49C20C6C"/>
    <w:rsid w:val="49CE0C89"/>
    <w:rsid w:val="49D93C20"/>
    <w:rsid w:val="49DA3FD3"/>
    <w:rsid w:val="4A0573EC"/>
    <w:rsid w:val="4A06116C"/>
    <w:rsid w:val="4A09499E"/>
    <w:rsid w:val="4A381BA6"/>
    <w:rsid w:val="4A3926E2"/>
    <w:rsid w:val="4A4172CE"/>
    <w:rsid w:val="4A43236C"/>
    <w:rsid w:val="4A4A176A"/>
    <w:rsid w:val="4A6C0FC7"/>
    <w:rsid w:val="4A7413BF"/>
    <w:rsid w:val="4A7D09F3"/>
    <w:rsid w:val="4A840EFE"/>
    <w:rsid w:val="4AC4256B"/>
    <w:rsid w:val="4AD162A8"/>
    <w:rsid w:val="4AD768C6"/>
    <w:rsid w:val="4AF902F5"/>
    <w:rsid w:val="4AF94D42"/>
    <w:rsid w:val="4B376E2E"/>
    <w:rsid w:val="4B385AE2"/>
    <w:rsid w:val="4B4E6B93"/>
    <w:rsid w:val="4B705844"/>
    <w:rsid w:val="4B7A3C96"/>
    <w:rsid w:val="4B82716C"/>
    <w:rsid w:val="4B8A2918"/>
    <w:rsid w:val="4B901807"/>
    <w:rsid w:val="4B9B25E4"/>
    <w:rsid w:val="4BAD4CA2"/>
    <w:rsid w:val="4BC328E8"/>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A53BC8"/>
    <w:rsid w:val="4DB41824"/>
    <w:rsid w:val="4DD776ED"/>
    <w:rsid w:val="4DDF6E13"/>
    <w:rsid w:val="4DE60E50"/>
    <w:rsid w:val="4DF20FEE"/>
    <w:rsid w:val="4E0939E5"/>
    <w:rsid w:val="4E176DF3"/>
    <w:rsid w:val="4E3A2C21"/>
    <w:rsid w:val="4E4475F5"/>
    <w:rsid w:val="4E68543B"/>
    <w:rsid w:val="4E694E99"/>
    <w:rsid w:val="4E795FE9"/>
    <w:rsid w:val="4ED3282E"/>
    <w:rsid w:val="4EE86D63"/>
    <w:rsid w:val="4EEE11A3"/>
    <w:rsid w:val="4EFF3444"/>
    <w:rsid w:val="4F0441E5"/>
    <w:rsid w:val="4F155F27"/>
    <w:rsid w:val="4F7278C6"/>
    <w:rsid w:val="4F85034E"/>
    <w:rsid w:val="4F983E33"/>
    <w:rsid w:val="4F9B5328"/>
    <w:rsid w:val="4FAB3627"/>
    <w:rsid w:val="4FB40C2C"/>
    <w:rsid w:val="4FBA52BE"/>
    <w:rsid w:val="4FD365FC"/>
    <w:rsid w:val="4FD62D61"/>
    <w:rsid w:val="4FDC6418"/>
    <w:rsid w:val="4FE15781"/>
    <w:rsid w:val="4FF5506D"/>
    <w:rsid w:val="50095827"/>
    <w:rsid w:val="50186BF6"/>
    <w:rsid w:val="502C4247"/>
    <w:rsid w:val="502D25A0"/>
    <w:rsid w:val="503D5373"/>
    <w:rsid w:val="504261AC"/>
    <w:rsid w:val="506309DB"/>
    <w:rsid w:val="50B139BD"/>
    <w:rsid w:val="50BD1498"/>
    <w:rsid w:val="50BE1B1D"/>
    <w:rsid w:val="50C51F05"/>
    <w:rsid w:val="50D228CF"/>
    <w:rsid w:val="50E63519"/>
    <w:rsid w:val="50ED76FB"/>
    <w:rsid w:val="51187610"/>
    <w:rsid w:val="51375EB3"/>
    <w:rsid w:val="513853CC"/>
    <w:rsid w:val="514C1E16"/>
    <w:rsid w:val="515C30A6"/>
    <w:rsid w:val="517F00BC"/>
    <w:rsid w:val="519D2F03"/>
    <w:rsid w:val="51BE2EAE"/>
    <w:rsid w:val="51DA5890"/>
    <w:rsid w:val="51F96848"/>
    <w:rsid w:val="52073487"/>
    <w:rsid w:val="521C5D43"/>
    <w:rsid w:val="521D7ED7"/>
    <w:rsid w:val="5239194F"/>
    <w:rsid w:val="52612620"/>
    <w:rsid w:val="52790FD9"/>
    <w:rsid w:val="528C5E23"/>
    <w:rsid w:val="529F0D9B"/>
    <w:rsid w:val="52CF0A4A"/>
    <w:rsid w:val="52DD5B35"/>
    <w:rsid w:val="52FC1C88"/>
    <w:rsid w:val="53155215"/>
    <w:rsid w:val="531621BA"/>
    <w:rsid w:val="531D0F10"/>
    <w:rsid w:val="533E0346"/>
    <w:rsid w:val="534246C3"/>
    <w:rsid w:val="53495ACD"/>
    <w:rsid w:val="5366542B"/>
    <w:rsid w:val="536D41AE"/>
    <w:rsid w:val="53794E20"/>
    <w:rsid w:val="5391597D"/>
    <w:rsid w:val="53947DE7"/>
    <w:rsid w:val="53A27D95"/>
    <w:rsid w:val="53A911A1"/>
    <w:rsid w:val="53E07B00"/>
    <w:rsid w:val="54002BFD"/>
    <w:rsid w:val="542F7A60"/>
    <w:rsid w:val="54550067"/>
    <w:rsid w:val="54580F5A"/>
    <w:rsid w:val="5478695B"/>
    <w:rsid w:val="548810E8"/>
    <w:rsid w:val="549C6534"/>
    <w:rsid w:val="54B62C99"/>
    <w:rsid w:val="54DF688B"/>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B616D"/>
    <w:rsid w:val="56436207"/>
    <w:rsid w:val="566510CB"/>
    <w:rsid w:val="567A6CC0"/>
    <w:rsid w:val="56927DA4"/>
    <w:rsid w:val="56A04928"/>
    <w:rsid w:val="56A50EBB"/>
    <w:rsid w:val="56B96F66"/>
    <w:rsid w:val="56BE75C0"/>
    <w:rsid w:val="56DA3EBA"/>
    <w:rsid w:val="56ED5E03"/>
    <w:rsid w:val="56FB0134"/>
    <w:rsid w:val="57012351"/>
    <w:rsid w:val="57095761"/>
    <w:rsid w:val="57292292"/>
    <w:rsid w:val="572E7E52"/>
    <w:rsid w:val="573459F0"/>
    <w:rsid w:val="573B3910"/>
    <w:rsid w:val="57484376"/>
    <w:rsid w:val="574B4B12"/>
    <w:rsid w:val="575425F9"/>
    <w:rsid w:val="57702374"/>
    <w:rsid w:val="57780ED4"/>
    <w:rsid w:val="579A7C07"/>
    <w:rsid w:val="57A46FEE"/>
    <w:rsid w:val="57B02763"/>
    <w:rsid w:val="57B6547E"/>
    <w:rsid w:val="57D01AAC"/>
    <w:rsid w:val="57DF6500"/>
    <w:rsid w:val="57E73B61"/>
    <w:rsid w:val="5803475B"/>
    <w:rsid w:val="580F5BC1"/>
    <w:rsid w:val="5822786C"/>
    <w:rsid w:val="58590DD2"/>
    <w:rsid w:val="586E1447"/>
    <w:rsid w:val="5878285F"/>
    <w:rsid w:val="588509DD"/>
    <w:rsid w:val="58957A8C"/>
    <w:rsid w:val="589F18E4"/>
    <w:rsid w:val="58B8443B"/>
    <w:rsid w:val="58BC4002"/>
    <w:rsid w:val="58D3490B"/>
    <w:rsid w:val="59267EF0"/>
    <w:rsid w:val="59421F7E"/>
    <w:rsid w:val="594935F2"/>
    <w:rsid w:val="595C0946"/>
    <w:rsid w:val="59642A7A"/>
    <w:rsid w:val="596D32B4"/>
    <w:rsid w:val="599148CE"/>
    <w:rsid w:val="59A24ED6"/>
    <w:rsid w:val="59B6531E"/>
    <w:rsid w:val="59B75E8A"/>
    <w:rsid w:val="59BC0F73"/>
    <w:rsid w:val="59BD2911"/>
    <w:rsid w:val="59BE1CC3"/>
    <w:rsid w:val="59C13A26"/>
    <w:rsid w:val="59D906FD"/>
    <w:rsid w:val="59EB0D06"/>
    <w:rsid w:val="59F61D17"/>
    <w:rsid w:val="5A0640DE"/>
    <w:rsid w:val="5A1215B1"/>
    <w:rsid w:val="5A1D0AF2"/>
    <w:rsid w:val="5A1F5196"/>
    <w:rsid w:val="5A227353"/>
    <w:rsid w:val="5A440B9D"/>
    <w:rsid w:val="5A5128C3"/>
    <w:rsid w:val="5A5C7772"/>
    <w:rsid w:val="5A6336A1"/>
    <w:rsid w:val="5A6B7C88"/>
    <w:rsid w:val="5A73612A"/>
    <w:rsid w:val="5AA541CF"/>
    <w:rsid w:val="5AB96041"/>
    <w:rsid w:val="5ABC6BFA"/>
    <w:rsid w:val="5AD510F0"/>
    <w:rsid w:val="5AF82FCA"/>
    <w:rsid w:val="5B187495"/>
    <w:rsid w:val="5B1B10FA"/>
    <w:rsid w:val="5B2445B5"/>
    <w:rsid w:val="5B492D29"/>
    <w:rsid w:val="5B5B64C5"/>
    <w:rsid w:val="5B627DC7"/>
    <w:rsid w:val="5B6C5737"/>
    <w:rsid w:val="5B896F76"/>
    <w:rsid w:val="5B975E5B"/>
    <w:rsid w:val="5B9C0984"/>
    <w:rsid w:val="5BBE6EBD"/>
    <w:rsid w:val="5BE23D1E"/>
    <w:rsid w:val="5BE24CD9"/>
    <w:rsid w:val="5BE50680"/>
    <w:rsid w:val="5BE52EE1"/>
    <w:rsid w:val="5BEA2231"/>
    <w:rsid w:val="5BFD4032"/>
    <w:rsid w:val="5C1832F4"/>
    <w:rsid w:val="5C1A3044"/>
    <w:rsid w:val="5C5E033F"/>
    <w:rsid w:val="5C6875EE"/>
    <w:rsid w:val="5CC43404"/>
    <w:rsid w:val="5CC93DAE"/>
    <w:rsid w:val="5CD31EE3"/>
    <w:rsid w:val="5CD655BF"/>
    <w:rsid w:val="5D2B5629"/>
    <w:rsid w:val="5D473075"/>
    <w:rsid w:val="5D5864DB"/>
    <w:rsid w:val="5D73393B"/>
    <w:rsid w:val="5D784379"/>
    <w:rsid w:val="5D7B3457"/>
    <w:rsid w:val="5D8B2715"/>
    <w:rsid w:val="5D915AFD"/>
    <w:rsid w:val="5DFC403A"/>
    <w:rsid w:val="5E00720B"/>
    <w:rsid w:val="5E012896"/>
    <w:rsid w:val="5E0A6049"/>
    <w:rsid w:val="5E156B70"/>
    <w:rsid w:val="5E226508"/>
    <w:rsid w:val="5E5F0687"/>
    <w:rsid w:val="5E783202"/>
    <w:rsid w:val="5E7842EE"/>
    <w:rsid w:val="5EB52E6F"/>
    <w:rsid w:val="5EC94A60"/>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474E6"/>
    <w:rsid w:val="5FFE6C22"/>
    <w:rsid w:val="60000309"/>
    <w:rsid w:val="600B6B90"/>
    <w:rsid w:val="600C3224"/>
    <w:rsid w:val="60143AD3"/>
    <w:rsid w:val="60281FCD"/>
    <w:rsid w:val="603771DA"/>
    <w:rsid w:val="60393541"/>
    <w:rsid w:val="6085543E"/>
    <w:rsid w:val="60907882"/>
    <w:rsid w:val="609517E9"/>
    <w:rsid w:val="60C5483E"/>
    <w:rsid w:val="60C867C5"/>
    <w:rsid w:val="60D3354A"/>
    <w:rsid w:val="60DB0800"/>
    <w:rsid w:val="60DE0DB6"/>
    <w:rsid w:val="60E54273"/>
    <w:rsid w:val="61067A64"/>
    <w:rsid w:val="6112529A"/>
    <w:rsid w:val="611F0B09"/>
    <w:rsid w:val="61200AAF"/>
    <w:rsid w:val="616E223F"/>
    <w:rsid w:val="617B725B"/>
    <w:rsid w:val="61963257"/>
    <w:rsid w:val="619C38B4"/>
    <w:rsid w:val="61A4486B"/>
    <w:rsid w:val="61BC23E5"/>
    <w:rsid w:val="61D21120"/>
    <w:rsid w:val="61E728F9"/>
    <w:rsid w:val="61F3667F"/>
    <w:rsid w:val="62185165"/>
    <w:rsid w:val="62460FCD"/>
    <w:rsid w:val="62480FF0"/>
    <w:rsid w:val="624B14C1"/>
    <w:rsid w:val="62630C6B"/>
    <w:rsid w:val="627301E8"/>
    <w:rsid w:val="6295194F"/>
    <w:rsid w:val="62BA3B2B"/>
    <w:rsid w:val="62C37511"/>
    <w:rsid w:val="62D11C3F"/>
    <w:rsid w:val="62DE5E6F"/>
    <w:rsid w:val="62E157FC"/>
    <w:rsid w:val="62E81148"/>
    <w:rsid w:val="62F76986"/>
    <w:rsid w:val="63340EAE"/>
    <w:rsid w:val="634B6A95"/>
    <w:rsid w:val="63615D3E"/>
    <w:rsid w:val="636C62BA"/>
    <w:rsid w:val="63821D61"/>
    <w:rsid w:val="63827E36"/>
    <w:rsid w:val="63842477"/>
    <w:rsid w:val="63A85CD1"/>
    <w:rsid w:val="63B02C42"/>
    <w:rsid w:val="63C51AD9"/>
    <w:rsid w:val="63C54411"/>
    <w:rsid w:val="63CD27C8"/>
    <w:rsid w:val="63CF2629"/>
    <w:rsid w:val="63E263F4"/>
    <w:rsid w:val="63E418C9"/>
    <w:rsid w:val="643F3FFC"/>
    <w:rsid w:val="64706C6F"/>
    <w:rsid w:val="649A6134"/>
    <w:rsid w:val="649D2569"/>
    <w:rsid w:val="64A51362"/>
    <w:rsid w:val="64A55A03"/>
    <w:rsid w:val="64B453B1"/>
    <w:rsid w:val="64FE0E31"/>
    <w:rsid w:val="651A5C6A"/>
    <w:rsid w:val="6522790C"/>
    <w:rsid w:val="653A5A86"/>
    <w:rsid w:val="65403733"/>
    <w:rsid w:val="65536E3A"/>
    <w:rsid w:val="655754CB"/>
    <w:rsid w:val="655E2D72"/>
    <w:rsid w:val="65833C4F"/>
    <w:rsid w:val="658B37B6"/>
    <w:rsid w:val="659C17EE"/>
    <w:rsid w:val="65BD3777"/>
    <w:rsid w:val="65D70270"/>
    <w:rsid w:val="66032E7B"/>
    <w:rsid w:val="661026AA"/>
    <w:rsid w:val="663D054E"/>
    <w:rsid w:val="6679372B"/>
    <w:rsid w:val="66980BF6"/>
    <w:rsid w:val="66B81454"/>
    <w:rsid w:val="66BE1292"/>
    <w:rsid w:val="66BF76F1"/>
    <w:rsid w:val="66DC5BF8"/>
    <w:rsid w:val="66E173F9"/>
    <w:rsid w:val="66E3226C"/>
    <w:rsid w:val="66EC5E36"/>
    <w:rsid w:val="67181932"/>
    <w:rsid w:val="672A4901"/>
    <w:rsid w:val="67441B08"/>
    <w:rsid w:val="67513E69"/>
    <w:rsid w:val="675A17FE"/>
    <w:rsid w:val="678A44B2"/>
    <w:rsid w:val="678C1D52"/>
    <w:rsid w:val="67C149C0"/>
    <w:rsid w:val="67C7427D"/>
    <w:rsid w:val="67CA7967"/>
    <w:rsid w:val="67CC38C5"/>
    <w:rsid w:val="67D9695E"/>
    <w:rsid w:val="67DC5CEA"/>
    <w:rsid w:val="67DF18A0"/>
    <w:rsid w:val="680965F8"/>
    <w:rsid w:val="68240EAA"/>
    <w:rsid w:val="68414D35"/>
    <w:rsid w:val="6850356A"/>
    <w:rsid w:val="685465AC"/>
    <w:rsid w:val="687442EE"/>
    <w:rsid w:val="689B3E14"/>
    <w:rsid w:val="689C5C1D"/>
    <w:rsid w:val="689F2FA0"/>
    <w:rsid w:val="68AD26AA"/>
    <w:rsid w:val="68BC14B0"/>
    <w:rsid w:val="68C20D16"/>
    <w:rsid w:val="68DD619B"/>
    <w:rsid w:val="68FD5593"/>
    <w:rsid w:val="691B307E"/>
    <w:rsid w:val="6934218F"/>
    <w:rsid w:val="693C5AA5"/>
    <w:rsid w:val="693E13B7"/>
    <w:rsid w:val="6951205B"/>
    <w:rsid w:val="6953741D"/>
    <w:rsid w:val="69731101"/>
    <w:rsid w:val="697D087B"/>
    <w:rsid w:val="69A7770D"/>
    <w:rsid w:val="69AC0B64"/>
    <w:rsid w:val="69B27C94"/>
    <w:rsid w:val="69BA2288"/>
    <w:rsid w:val="69D537ED"/>
    <w:rsid w:val="69DC3AC1"/>
    <w:rsid w:val="69F224F8"/>
    <w:rsid w:val="69F3790F"/>
    <w:rsid w:val="69F86641"/>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F2DCA"/>
    <w:rsid w:val="6BDD0493"/>
    <w:rsid w:val="6BDE54AC"/>
    <w:rsid w:val="6BF25C39"/>
    <w:rsid w:val="6C06150E"/>
    <w:rsid w:val="6C263A06"/>
    <w:rsid w:val="6C3A624E"/>
    <w:rsid w:val="6C431738"/>
    <w:rsid w:val="6C505966"/>
    <w:rsid w:val="6C5D04BB"/>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C14B2"/>
    <w:rsid w:val="6D436625"/>
    <w:rsid w:val="6D5E64E8"/>
    <w:rsid w:val="6D652ED0"/>
    <w:rsid w:val="6D662717"/>
    <w:rsid w:val="6D663299"/>
    <w:rsid w:val="6DA71839"/>
    <w:rsid w:val="6DB20233"/>
    <w:rsid w:val="6E0F320E"/>
    <w:rsid w:val="6E1B4CD0"/>
    <w:rsid w:val="6E2A0DD8"/>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7E1B78"/>
    <w:rsid w:val="6F9C5D71"/>
    <w:rsid w:val="6FA25785"/>
    <w:rsid w:val="6FA3781E"/>
    <w:rsid w:val="6FE53444"/>
    <w:rsid w:val="6FF1528E"/>
    <w:rsid w:val="700C0460"/>
    <w:rsid w:val="70170F2B"/>
    <w:rsid w:val="701E2FAB"/>
    <w:rsid w:val="70387A8F"/>
    <w:rsid w:val="70767F2C"/>
    <w:rsid w:val="707E62BB"/>
    <w:rsid w:val="707F028D"/>
    <w:rsid w:val="709E640C"/>
    <w:rsid w:val="70B56633"/>
    <w:rsid w:val="70BB0D3E"/>
    <w:rsid w:val="70CF3906"/>
    <w:rsid w:val="70D91094"/>
    <w:rsid w:val="70DB76EF"/>
    <w:rsid w:val="712D2ADB"/>
    <w:rsid w:val="71431855"/>
    <w:rsid w:val="7143374A"/>
    <w:rsid w:val="71536701"/>
    <w:rsid w:val="716A160C"/>
    <w:rsid w:val="716B5F96"/>
    <w:rsid w:val="718B3A9F"/>
    <w:rsid w:val="71936186"/>
    <w:rsid w:val="71AF2F66"/>
    <w:rsid w:val="71C96C07"/>
    <w:rsid w:val="71CD28DD"/>
    <w:rsid w:val="71D00811"/>
    <w:rsid w:val="71DA7C5F"/>
    <w:rsid w:val="71DE4C74"/>
    <w:rsid w:val="71E346E4"/>
    <w:rsid w:val="71E44E58"/>
    <w:rsid w:val="71E767FC"/>
    <w:rsid w:val="71EF5D41"/>
    <w:rsid w:val="72056436"/>
    <w:rsid w:val="72130B93"/>
    <w:rsid w:val="723749D7"/>
    <w:rsid w:val="724E54F1"/>
    <w:rsid w:val="727334E4"/>
    <w:rsid w:val="727B2E39"/>
    <w:rsid w:val="72827328"/>
    <w:rsid w:val="728B509F"/>
    <w:rsid w:val="728F0A31"/>
    <w:rsid w:val="72B751B8"/>
    <w:rsid w:val="72CE3184"/>
    <w:rsid w:val="72D456A5"/>
    <w:rsid w:val="72E70D52"/>
    <w:rsid w:val="72EA6B66"/>
    <w:rsid w:val="731C28E7"/>
    <w:rsid w:val="732A4A9B"/>
    <w:rsid w:val="73343997"/>
    <w:rsid w:val="73370B0A"/>
    <w:rsid w:val="733C723A"/>
    <w:rsid w:val="733C7C6A"/>
    <w:rsid w:val="73690216"/>
    <w:rsid w:val="736A02D8"/>
    <w:rsid w:val="739B1EFF"/>
    <w:rsid w:val="739B6F50"/>
    <w:rsid w:val="73A16D22"/>
    <w:rsid w:val="73B1400F"/>
    <w:rsid w:val="73BA064C"/>
    <w:rsid w:val="73BB3C6E"/>
    <w:rsid w:val="73CE1997"/>
    <w:rsid w:val="73DE1AB7"/>
    <w:rsid w:val="73EC7C9D"/>
    <w:rsid w:val="741076D1"/>
    <w:rsid w:val="74215D04"/>
    <w:rsid w:val="742A0965"/>
    <w:rsid w:val="742D6DB6"/>
    <w:rsid w:val="74775754"/>
    <w:rsid w:val="74B06962"/>
    <w:rsid w:val="74B32215"/>
    <w:rsid w:val="74C46840"/>
    <w:rsid w:val="74D71DDE"/>
    <w:rsid w:val="74E11F86"/>
    <w:rsid w:val="74FB509B"/>
    <w:rsid w:val="74FB6035"/>
    <w:rsid w:val="750934A8"/>
    <w:rsid w:val="750A15E4"/>
    <w:rsid w:val="752B3381"/>
    <w:rsid w:val="75594581"/>
    <w:rsid w:val="75625A16"/>
    <w:rsid w:val="75663FD1"/>
    <w:rsid w:val="759B0C43"/>
    <w:rsid w:val="75C123A7"/>
    <w:rsid w:val="75CD2584"/>
    <w:rsid w:val="75F75D00"/>
    <w:rsid w:val="75F8074C"/>
    <w:rsid w:val="7600209C"/>
    <w:rsid w:val="760049B0"/>
    <w:rsid w:val="76070A73"/>
    <w:rsid w:val="763B42FB"/>
    <w:rsid w:val="763F1F92"/>
    <w:rsid w:val="76424474"/>
    <w:rsid w:val="76452780"/>
    <w:rsid w:val="76690632"/>
    <w:rsid w:val="767469E2"/>
    <w:rsid w:val="76775F0B"/>
    <w:rsid w:val="76894819"/>
    <w:rsid w:val="76932317"/>
    <w:rsid w:val="76B153BA"/>
    <w:rsid w:val="76C72CA0"/>
    <w:rsid w:val="76ED0EF4"/>
    <w:rsid w:val="76F2295F"/>
    <w:rsid w:val="76F50A9F"/>
    <w:rsid w:val="76FD2D1D"/>
    <w:rsid w:val="77187F65"/>
    <w:rsid w:val="7729766A"/>
    <w:rsid w:val="773A62B8"/>
    <w:rsid w:val="774B3934"/>
    <w:rsid w:val="777B5F51"/>
    <w:rsid w:val="777D53E6"/>
    <w:rsid w:val="777E301E"/>
    <w:rsid w:val="77847A56"/>
    <w:rsid w:val="778F49BD"/>
    <w:rsid w:val="77966F4C"/>
    <w:rsid w:val="77A75021"/>
    <w:rsid w:val="77B4796D"/>
    <w:rsid w:val="77B8689C"/>
    <w:rsid w:val="77C2510C"/>
    <w:rsid w:val="77C833A2"/>
    <w:rsid w:val="78036043"/>
    <w:rsid w:val="781838FF"/>
    <w:rsid w:val="781B3886"/>
    <w:rsid w:val="78375EBD"/>
    <w:rsid w:val="7888219B"/>
    <w:rsid w:val="788908C8"/>
    <w:rsid w:val="7894281D"/>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A15149"/>
    <w:rsid w:val="79A37CCA"/>
    <w:rsid w:val="79C24EDF"/>
    <w:rsid w:val="79C95AED"/>
    <w:rsid w:val="79E12ED9"/>
    <w:rsid w:val="79E352FF"/>
    <w:rsid w:val="79ED6701"/>
    <w:rsid w:val="79FB2D0B"/>
    <w:rsid w:val="7A0F1525"/>
    <w:rsid w:val="7A4D07BA"/>
    <w:rsid w:val="7A5863D3"/>
    <w:rsid w:val="7A64499E"/>
    <w:rsid w:val="7A6656B6"/>
    <w:rsid w:val="7A723F72"/>
    <w:rsid w:val="7A743D9C"/>
    <w:rsid w:val="7A9123B7"/>
    <w:rsid w:val="7A9711EE"/>
    <w:rsid w:val="7A9C3E5C"/>
    <w:rsid w:val="7AA952CF"/>
    <w:rsid w:val="7AB07C78"/>
    <w:rsid w:val="7ACD2D7F"/>
    <w:rsid w:val="7AD27B42"/>
    <w:rsid w:val="7AE70F19"/>
    <w:rsid w:val="7B18546A"/>
    <w:rsid w:val="7B214978"/>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610C91"/>
    <w:rsid w:val="7C613AEC"/>
    <w:rsid w:val="7C705F35"/>
    <w:rsid w:val="7C815D2A"/>
    <w:rsid w:val="7C831756"/>
    <w:rsid w:val="7CB62523"/>
    <w:rsid w:val="7CE70935"/>
    <w:rsid w:val="7CF84A31"/>
    <w:rsid w:val="7CFC44C2"/>
    <w:rsid w:val="7D013B39"/>
    <w:rsid w:val="7D0826CA"/>
    <w:rsid w:val="7D130509"/>
    <w:rsid w:val="7D1946C0"/>
    <w:rsid w:val="7D2A5CCB"/>
    <w:rsid w:val="7D401CAA"/>
    <w:rsid w:val="7D64087E"/>
    <w:rsid w:val="7D7F5298"/>
    <w:rsid w:val="7DAB10BD"/>
    <w:rsid w:val="7DD7657D"/>
    <w:rsid w:val="7DF464FC"/>
    <w:rsid w:val="7E006A11"/>
    <w:rsid w:val="7E1C55F3"/>
    <w:rsid w:val="7E347694"/>
    <w:rsid w:val="7E3B5911"/>
    <w:rsid w:val="7E495416"/>
    <w:rsid w:val="7E497873"/>
    <w:rsid w:val="7E750E81"/>
    <w:rsid w:val="7E9044A6"/>
    <w:rsid w:val="7E922E52"/>
    <w:rsid w:val="7EA87297"/>
    <w:rsid w:val="7EC57DB4"/>
    <w:rsid w:val="7ED55364"/>
    <w:rsid w:val="7ED61FF8"/>
    <w:rsid w:val="7EDE52DA"/>
    <w:rsid w:val="7EEC4A0C"/>
    <w:rsid w:val="7EEF5C7E"/>
    <w:rsid w:val="7EFA4392"/>
    <w:rsid w:val="7F085E6E"/>
    <w:rsid w:val="7F090A0E"/>
    <w:rsid w:val="7F0C0396"/>
    <w:rsid w:val="7F160CCE"/>
    <w:rsid w:val="7F18438A"/>
    <w:rsid w:val="7FA069EC"/>
    <w:rsid w:val="7FDA2CD0"/>
    <w:rsid w:val="7FEC1A9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6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5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4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51"/>
    <w:qFormat/>
    <w:uiPriority w:val="0"/>
    <w:pPr>
      <w:tabs>
        <w:tab w:val="left" w:pos="2144"/>
        <w:tab w:val="clear" w:pos="2000"/>
      </w:tabs>
      <w:ind w:left="2144" w:hanging="1008"/>
      <w:outlineLvl w:val="4"/>
    </w:pPr>
    <w:rPr>
      <w:sz w:val="22"/>
    </w:rPr>
  </w:style>
  <w:style w:type="paragraph" w:styleId="7">
    <w:name w:val="heading 6"/>
    <w:basedOn w:val="1"/>
    <w:next w:val="1"/>
    <w:link w:val="7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5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4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4"/>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7">
    <w:name w:val="Normal Table"/>
    <w:unhideWhenUsed/>
    <w:qFormat/>
    <w:uiPriority w:val="99"/>
    <w:tblPr>
      <w:tblStyle w:val="27"/>
      <w:tblLayout w:type="fixed"/>
      <w:tblCellMar>
        <w:top w:w="0" w:type="dxa"/>
        <w:left w:w="108" w:type="dxa"/>
        <w:bottom w:w="0" w:type="dxa"/>
        <w:right w:w="108" w:type="dxa"/>
      </w:tblCellMar>
    </w:tblPr>
  </w:style>
  <w:style w:type="paragraph" w:styleId="11">
    <w:name w:val="annotation subject"/>
    <w:basedOn w:val="12"/>
    <w:next w:val="12"/>
    <w:link w:val="65"/>
    <w:unhideWhenUsed/>
    <w:uiPriority w:val="99"/>
    <w:rPr>
      <w:b/>
      <w:bCs/>
    </w:rPr>
  </w:style>
  <w:style w:type="paragraph" w:styleId="12">
    <w:name w:val="annotation text"/>
    <w:basedOn w:val="1"/>
    <w:link w:val="71"/>
    <w:unhideWhenUsed/>
    <w:uiPriority w:val="99"/>
    <w:rPr>
      <w:sz w:val="20"/>
      <w:szCs w:val="20"/>
    </w:rPr>
  </w:style>
  <w:style w:type="paragraph" w:styleId="13">
    <w:name w:val="caption"/>
    <w:basedOn w:val="1"/>
    <w:next w:val="1"/>
    <w:link w:val="66"/>
    <w:qFormat/>
    <w:uiPriority w:val="0"/>
    <w:pPr>
      <w:widowControl/>
      <w:spacing w:before="152" w:after="160"/>
    </w:pPr>
    <w:rPr>
      <w:rFonts w:ascii="Arial" w:hAnsi="Arial" w:eastAsia="黑体"/>
      <w:kern w:val="0"/>
      <w:sz w:val="20"/>
      <w:szCs w:val="20"/>
    </w:rPr>
  </w:style>
  <w:style w:type="paragraph" w:styleId="14">
    <w:name w:val="Document Map"/>
    <w:basedOn w:val="1"/>
    <w:link w:val="54"/>
    <w:unhideWhenUsed/>
    <w:uiPriority w:val="99"/>
    <w:rPr>
      <w:rFonts w:ascii="宋体"/>
      <w:kern w:val="0"/>
      <w:sz w:val="18"/>
      <w:szCs w:val="18"/>
    </w:rPr>
  </w:style>
  <w:style w:type="paragraph" w:styleId="15">
    <w:name w:val="Body Text"/>
    <w:basedOn w:val="1"/>
    <w:link w:val="58"/>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5"/>
    <w:unhideWhenUsed/>
    <w:uiPriority w:val="99"/>
    <w:rPr>
      <w:sz w:val="18"/>
      <w:szCs w:val="18"/>
    </w:rPr>
  </w:style>
  <w:style w:type="paragraph" w:styleId="17">
    <w:name w:val="footer"/>
    <w:basedOn w:val="18"/>
    <w:link w:val="68"/>
    <w:unhideWhenUsed/>
    <w:uiPriority w:val="99"/>
    <w:pPr>
      <w:tabs>
        <w:tab w:val="center" w:pos="4153"/>
        <w:tab w:val="right" w:pos="8306"/>
      </w:tabs>
      <w:snapToGrid w:val="0"/>
      <w:jc w:val="left"/>
    </w:pPr>
    <w:rPr>
      <w:kern w:val="0"/>
      <w:sz w:val="18"/>
      <w:szCs w:val="18"/>
    </w:rPr>
  </w:style>
  <w:style w:type="paragraph" w:styleId="18">
    <w:name w:val="header"/>
    <w:basedOn w:val="1"/>
    <w:link w:val="6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Emphasis"/>
    <w:basedOn w:val="21"/>
    <w:qFormat/>
    <w:uiPriority w:val="20"/>
    <w:rPr>
      <w:color w:val="CC0000"/>
    </w:rPr>
  </w:style>
  <w:style w:type="character" w:styleId="24">
    <w:name w:val="Hyperlink"/>
    <w:uiPriority w:val="0"/>
    <w:rPr>
      <w:color w:val="0000FF"/>
      <w:u w:val="single"/>
    </w:rPr>
  </w:style>
  <w:style w:type="character" w:styleId="25">
    <w:name w:val="annotation reference"/>
    <w:unhideWhenUsed/>
    <w:uiPriority w:val="99"/>
    <w:rPr>
      <w:sz w:val="16"/>
      <w:szCs w:val="16"/>
    </w:rPr>
  </w:style>
  <w:style w:type="character" w:styleId="26">
    <w:name w:val="HTML Cite"/>
    <w:basedOn w:val="21"/>
    <w:unhideWhenUsed/>
    <w:uiPriority w:val="99"/>
    <w:rPr>
      <w:color w:val="008000"/>
    </w:rPr>
  </w:style>
  <w:style w:type="table" w:styleId="28">
    <w:name w:val="Table Grid"/>
    <w:basedOn w:val="27"/>
    <w:uiPriority w:val="0"/>
    <w:rPr>
      <w:rFonts w:ascii="Times New Roman" w:hAnsi="Times New Roman"/>
    </w:rPr>
    <w:tblPr>
      <w:tblStyle w:val="2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9">
    <w:name w:val="_Style 0"/>
    <w:qFormat/>
    <w:uiPriority w:val="1"/>
    <w:pPr>
      <w:widowControl w:val="0"/>
      <w:jc w:val="both"/>
    </w:pPr>
    <w:rPr>
      <w:kern w:val="2"/>
      <w:sz w:val="21"/>
      <w:szCs w:val="24"/>
      <w:lang w:val="en-US" w:eastAsia="zh-CN" w:bidi="ar-SA"/>
    </w:rPr>
  </w:style>
  <w:style w:type="paragraph" w:customStyle="1" w:styleId="30">
    <w:name w:val="char char"/>
    <w:basedOn w:val="31"/>
    <w:link w:val="61"/>
    <w:qFormat/>
    <w:uiPriority w:val="0"/>
    <w:pPr>
      <w:spacing w:before="180" w:after="120"/>
      <w:outlineLvl w:val="1"/>
    </w:pPr>
    <w:rPr>
      <w:rFonts w:ascii="Arial" w:hAnsi="Arial"/>
      <w:sz w:val="28"/>
      <w:szCs w:val="32"/>
    </w:rPr>
  </w:style>
  <w:style w:type="paragraph" w:customStyle="1" w:styleId="31">
    <w:name w:val="正文1"/>
    <w:basedOn w:val="1"/>
    <w:link w:val="80"/>
    <w:qFormat/>
    <w:uiPriority w:val="0"/>
    <w:pPr>
      <w:adjustRightInd w:val="0"/>
      <w:spacing w:after="180"/>
    </w:pPr>
    <w:rPr>
      <w:kern w:val="0"/>
      <w:sz w:val="20"/>
      <w:szCs w:val="20"/>
    </w:rPr>
  </w:style>
  <w:style w:type="paragraph" w:customStyle="1" w:styleId="32">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33">
    <w:name w:val="EQ"/>
    <w:basedOn w:val="1"/>
    <w:next w:val="1"/>
    <w:uiPriority w:val="0"/>
    <w:pPr>
      <w:keepLines/>
      <w:tabs>
        <w:tab w:val="center" w:pos="4536"/>
        <w:tab w:val="right" w:pos="9072"/>
      </w:tabs>
    </w:pPr>
  </w:style>
  <w:style w:type="paragraph" w:customStyle="1" w:styleId="34">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35">
    <w:name w:val="NO"/>
    <w:basedOn w:val="1"/>
    <w:link w:val="78"/>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6">
    <w:name w:val="char char char"/>
    <w:basedOn w:val="31"/>
    <w:link w:val="77"/>
    <w:qFormat/>
    <w:uiPriority w:val="0"/>
    <w:pPr>
      <w:keepNext/>
      <w:keepLines/>
      <w:widowControl/>
      <w:spacing w:before="120"/>
      <w:ind w:firstLine="40"/>
      <w:outlineLvl w:val="2"/>
    </w:pPr>
    <w:rPr>
      <w:rFonts w:ascii="Arial" w:hAnsi="Arial"/>
      <w:sz w:val="24"/>
      <w:szCs w:val="28"/>
    </w:rPr>
  </w:style>
  <w:style w:type="paragraph" w:customStyle="1" w:styleId="37">
    <w:name w:val="TAH"/>
    <w:basedOn w:val="38"/>
    <w:link w:val="73"/>
    <w:uiPriority w:val="0"/>
    <w:rPr>
      <w:b/>
    </w:rPr>
  </w:style>
  <w:style w:type="paragraph" w:customStyle="1" w:styleId="38">
    <w:name w:val="TAC"/>
    <w:basedOn w:val="39"/>
    <w:link w:val="76"/>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9">
    <w:name w:val="TAL"/>
    <w:basedOn w:val="1"/>
    <w:link w:val="49"/>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TH"/>
    <w:basedOn w:val="1"/>
    <w:link w:val="53"/>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1">
    <w:name w:val="No Spacing"/>
    <w:qFormat/>
    <w:uiPriority w:val="1"/>
    <w:pPr>
      <w:widowControl w:val="0"/>
      <w:jc w:val="both"/>
    </w:pPr>
    <w:rPr>
      <w:kern w:val="2"/>
      <w:sz w:val="21"/>
      <w:szCs w:val="24"/>
      <w:lang w:val="en-US" w:eastAsia="zh-CN" w:bidi="ar-SA"/>
    </w:rPr>
  </w:style>
  <w:style w:type="paragraph" w:customStyle="1" w:styleId="42">
    <w:name w:val="Char"/>
    <w:basedOn w:val="43"/>
    <w:link w:val="5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43">
    <w:name w:val="List Paragraph"/>
    <w:basedOn w:val="1"/>
    <w:qFormat/>
    <w:uiPriority w:val="34"/>
    <w:pPr>
      <w:ind w:firstLine="420" w:firstLineChars="200"/>
    </w:pPr>
  </w:style>
  <w:style w:type="paragraph" w:customStyle="1" w:styleId="44">
    <w:name w:val="TAN"/>
    <w:basedOn w:val="1"/>
    <w:link w:val="69"/>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5">
    <w:name w:val="B1"/>
    <w:basedOn w:val="19"/>
    <w:link w:val="67"/>
    <w:uiPriority w:val="0"/>
    <w:pPr>
      <w:widowControl/>
      <w:spacing w:after="180"/>
      <w:ind w:left="568" w:hanging="284" w:firstLineChars="0"/>
      <w:jc w:val="left"/>
    </w:pPr>
    <w:rPr>
      <w:rFonts w:eastAsia="MS Mincho"/>
      <w:kern w:val="0"/>
      <w:sz w:val="20"/>
      <w:szCs w:val="20"/>
      <w:lang w:val="en-GB" w:eastAsia="de-DE"/>
    </w:rPr>
  </w:style>
  <w:style w:type="paragraph" w:customStyle="1" w:styleId="46">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character" w:customStyle="1" w:styleId="47">
    <w:name w:val="Heading 4 Char"/>
    <w:link w:val="5"/>
    <w:uiPriority w:val="0"/>
    <w:rPr>
      <w:rFonts w:ascii="Arial" w:hAnsi="Arial" w:eastAsia="宋体"/>
      <w:sz w:val="24"/>
      <w:lang w:val="en-GB" w:eastAsia="en-US"/>
    </w:rPr>
  </w:style>
  <w:style w:type="character" w:customStyle="1" w:styleId="48">
    <w:name w:val="Heading 8 Char"/>
    <w:link w:val="9"/>
    <w:uiPriority w:val="0"/>
    <w:rPr>
      <w:rFonts w:ascii="Arial" w:hAnsi="Arial" w:eastAsia="宋体"/>
      <w:sz w:val="36"/>
      <w:lang w:val="en-GB" w:eastAsia="en-US"/>
    </w:rPr>
  </w:style>
  <w:style w:type="character" w:customStyle="1" w:styleId="49">
    <w:name w:val="TAL Char"/>
    <w:link w:val="39"/>
    <w:uiPriority w:val="0"/>
    <w:rPr>
      <w:rFonts w:ascii="Arial" w:hAnsi="Arial"/>
      <w:sz w:val="18"/>
      <w:lang w:val="en-GB" w:eastAsia="en-US"/>
    </w:rPr>
  </w:style>
  <w:style w:type="character" w:customStyle="1" w:styleId="50">
    <w:name w:val="Heading 7 Char"/>
    <w:link w:val="8"/>
    <w:uiPriority w:val="0"/>
    <w:rPr>
      <w:rFonts w:ascii="Arial" w:hAnsi="Arial" w:eastAsia="宋体"/>
      <w:lang w:val="en-GB" w:eastAsia="en-US"/>
    </w:rPr>
  </w:style>
  <w:style w:type="character" w:customStyle="1" w:styleId="51">
    <w:name w:val="Heading 5 Char"/>
    <w:link w:val="6"/>
    <w:uiPriority w:val="0"/>
    <w:rPr>
      <w:rFonts w:ascii="Arial" w:hAnsi="Arial" w:eastAsia="宋体"/>
      <w:sz w:val="22"/>
      <w:lang w:val="en-GB" w:eastAsia="en-US"/>
    </w:rPr>
  </w:style>
  <w:style w:type="character" w:customStyle="1" w:styleId="52">
    <w:name w:val="keyword"/>
    <w:basedOn w:val="21"/>
    <w:uiPriority w:val="0"/>
  </w:style>
  <w:style w:type="character" w:customStyle="1" w:styleId="53">
    <w:name w:val="TH Char"/>
    <w:link w:val="40"/>
    <w:uiPriority w:val="0"/>
    <w:rPr>
      <w:rFonts w:ascii="Arial" w:hAnsi="Arial" w:eastAsia="宋体"/>
      <w:b/>
      <w:bCs/>
      <w:lang w:val="en-GB"/>
    </w:rPr>
  </w:style>
  <w:style w:type="character" w:customStyle="1" w:styleId="54">
    <w:name w:val="Document Map Char"/>
    <w:link w:val="14"/>
    <w:semiHidden/>
    <w:uiPriority w:val="99"/>
    <w:rPr>
      <w:rFonts w:ascii="宋体" w:eastAsia="宋体"/>
      <w:sz w:val="18"/>
      <w:szCs w:val="18"/>
    </w:rPr>
  </w:style>
  <w:style w:type="character" w:customStyle="1" w:styleId="55">
    <w:name w:val="Char Char"/>
    <w:link w:val="42"/>
    <w:uiPriority w:val="0"/>
    <w:rPr>
      <w:rFonts w:ascii="Arial" w:hAnsi="Arial"/>
      <w:sz w:val="32"/>
      <w:szCs w:val="36"/>
    </w:rPr>
  </w:style>
  <w:style w:type="character" w:customStyle="1" w:styleId="56">
    <w:name w:val="Heading 2 Char"/>
    <w:link w:val="3"/>
    <w:uiPriority w:val="0"/>
    <w:rPr>
      <w:rFonts w:ascii="Arial" w:hAnsi="Arial"/>
      <w:sz w:val="32"/>
      <w:lang w:eastAsia="en-US"/>
    </w:rPr>
  </w:style>
  <w:style w:type="character" w:customStyle="1" w:styleId="57">
    <w:name w:val="op_dict_text2"/>
    <w:basedOn w:val="21"/>
    <w:uiPriority w:val="0"/>
  </w:style>
  <w:style w:type="character" w:customStyle="1" w:styleId="58">
    <w:name w:val="Body Text Char"/>
    <w:link w:val="15"/>
    <w:uiPriority w:val="0"/>
    <w:rPr>
      <w:rFonts w:ascii="Times New Roman" w:hAnsi="Times New Roman" w:eastAsia="Times New Roman" w:cs="Times New Roman"/>
      <w:kern w:val="0"/>
      <w:sz w:val="20"/>
      <w:szCs w:val="20"/>
      <w:lang w:val="en-GB" w:eastAsia="en-US"/>
    </w:rPr>
  </w:style>
  <w:style w:type="character" w:customStyle="1" w:styleId="59">
    <w:name w:val="op_dict3_lineone_result_tip"/>
    <w:basedOn w:val="21"/>
    <w:uiPriority w:val="0"/>
    <w:rPr>
      <w:color w:val="999999"/>
    </w:rPr>
  </w:style>
  <w:style w:type="character" w:customStyle="1" w:styleId="60">
    <w:name w:val="Header Char"/>
    <w:link w:val="18"/>
    <w:uiPriority w:val="99"/>
    <w:rPr>
      <w:sz w:val="18"/>
      <w:szCs w:val="18"/>
    </w:rPr>
  </w:style>
  <w:style w:type="character" w:customStyle="1" w:styleId="61">
    <w:name w:val="char char Char"/>
    <w:link w:val="30"/>
    <w:uiPriority w:val="0"/>
    <w:rPr>
      <w:rFonts w:ascii="Arial" w:hAnsi="Arial" w:eastAsia="宋体" w:cs="Times New Roman"/>
      <w:kern w:val="0"/>
      <w:sz w:val="28"/>
      <w:szCs w:val="32"/>
    </w:rPr>
  </w:style>
  <w:style w:type="character" w:customStyle="1" w:styleId="62">
    <w:name w:val="Heading 3 Char"/>
    <w:link w:val="4"/>
    <w:uiPriority w:val="0"/>
    <w:rPr>
      <w:rFonts w:ascii="Arial" w:hAnsi="Arial"/>
      <w:sz w:val="28"/>
      <w:lang w:eastAsia="en-US"/>
    </w:rPr>
  </w:style>
  <w:style w:type="character" w:customStyle="1" w:styleId="63">
    <w:name w:val="Heading 1 Char"/>
    <w:link w:val="2"/>
    <w:uiPriority w:val="9"/>
    <w:rPr>
      <w:rFonts w:ascii="Cambria" w:hAnsi="Cambria" w:eastAsia="宋体" w:cs="Times New Roman"/>
      <w:b/>
      <w:bCs/>
      <w:kern w:val="32"/>
      <w:sz w:val="32"/>
      <w:szCs w:val="32"/>
      <w:lang w:val="en-US"/>
    </w:rPr>
  </w:style>
  <w:style w:type="character" w:customStyle="1" w:styleId="64">
    <w:name w:val="Heading 9 Char"/>
    <w:link w:val="10"/>
    <w:uiPriority w:val="0"/>
    <w:rPr>
      <w:rFonts w:ascii="Arial" w:hAnsi="Arial" w:eastAsia="宋体"/>
      <w:sz w:val="36"/>
      <w:lang w:val="en-GB" w:eastAsia="en-US"/>
    </w:rPr>
  </w:style>
  <w:style w:type="character" w:customStyle="1" w:styleId="65">
    <w:name w:val="Comment Subject Char"/>
    <w:link w:val="11"/>
    <w:semiHidden/>
    <w:uiPriority w:val="99"/>
    <w:rPr>
      <w:b/>
      <w:bCs/>
      <w:kern w:val="2"/>
      <w:lang w:eastAsia="zh-CN"/>
    </w:rPr>
  </w:style>
  <w:style w:type="character" w:customStyle="1" w:styleId="66">
    <w:name w:val="Caption Char"/>
    <w:link w:val="13"/>
    <w:uiPriority w:val="0"/>
    <w:rPr>
      <w:rFonts w:ascii="Arial" w:hAnsi="Arial" w:eastAsia="黑体"/>
    </w:rPr>
  </w:style>
  <w:style w:type="character" w:customStyle="1" w:styleId="67">
    <w:name w:val="B1 Char"/>
    <w:link w:val="45"/>
    <w:uiPriority w:val="0"/>
    <w:rPr>
      <w:rFonts w:ascii="Times New Roman" w:hAnsi="Times New Roman" w:eastAsia="MS Mincho"/>
      <w:lang w:val="en-GB" w:eastAsia="de-DE"/>
    </w:rPr>
  </w:style>
  <w:style w:type="character" w:customStyle="1" w:styleId="68">
    <w:name w:val="Footer Char"/>
    <w:link w:val="17"/>
    <w:uiPriority w:val="99"/>
    <w:rPr>
      <w:sz w:val="18"/>
      <w:szCs w:val="18"/>
    </w:rPr>
  </w:style>
  <w:style w:type="character" w:customStyle="1" w:styleId="69">
    <w:name w:val="TAN Char"/>
    <w:link w:val="44"/>
    <w:uiPriority w:val="0"/>
    <w:rPr>
      <w:rFonts w:ascii="Arial" w:hAnsi="Arial" w:eastAsia="宋体"/>
      <w:sz w:val="18"/>
      <w:szCs w:val="18"/>
      <w:lang w:val="en-GB"/>
    </w:rPr>
  </w:style>
  <w:style w:type="character" w:customStyle="1" w:styleId="70">
    <w:name w:val="c-icon14"/>
    <w:basedOn w:val="21"/>
    <w:uiPriority w:val="0"/>
  </w:style>
  <w:style w:type="character" w:customStyle="1" w:styleId="71">
    <w:name w:val="Comment Text Char"/>
    <w:link w:val="12"/>
    <w:semiHidden/>
    <w:uiPriority w:val="99"/>
    <w:rPr>
      <w:kern w:val="2"/>
      <w:lang w:eastAsia="zh-CN"/>
    </w:rPr>
  </w:style>
  <w:style w:type="character" w:customStyle="1" w:styleId="72">
    <w:name w:val="Heading 6 Char"/>
    <w:link w:val="7"/>
    <w:uiPriority w:val="0"/>
    <w:rPr>
      <w:rFonts w:ascii="Arial" w:hAnsi="Arial" w:eastAsia="宋体"/>
      <w:lang w:val="en-GB" w:eastAsia="en-US"/>
    </w:rPr>
  </w:style>
  <w:style w:type="character" w:customStyle="1" w:styleId="73">
    <w:name w:val="TAH Car"/>
    <w:link w:val="37"/>
    <w:uiPriority w:val="0"/>
    <w:rPr>
      <w:rFonts w:ascii="Arial" w:hAnsi="Arial" w:eastAsia="Times New Roman" w:cs="Times New Roman"/>
      <w:b/>
      <w:kern w:val="0"/>
      <w:sz w:val="18"/>
      <w:szCs w:val="20"/>
      <w:lang w:val="en-GB" w:eastAsia="ja-JP"/>
    </w:rPr>
  </w:style>
  <w:style w:type="character" w:customStyle="1" w:styleId="74">
    <w:name w:val="msoins"/>
    <w:basedOn w:val="21"/>
    <w:uiPriority w:val="0"/>
  </w:style>
  <w:style w:type="character" w:customStyle="1" w:styleId="75">
    <w:name w:val="Balloon Text Char"/>
    <w:link w:val="16"/>
    <w:semiHidden/>
    <w:uiPriority w:val="99"/>
    <w:rPr>
      <w:kern w:val="2"/>
      <w:sz w:val="18"/>
      <w:szCs w:val="18"/>
    </w:rPr>
  </w:style>
  <w:style w:type="character" w:customStyle="1" w:styleId="76">
    <w:name w:val="TAC Char"/>
    <w:link w:val="38"/>
    <w:uiPriority w:val="0"/>
    <w:rPr>
      <w:rFonts w:ascii="Arial" w:hAnsi="Arial" w:eastAsia="Times New Roman" w:cs="Times New Roman"/>
      <w:kern w:val="0"/>
      <w:sz w:val="18"/>
      <w:szCs w:val="20"/>
      <w:lang w:val="en-GB" w:eastAsia="ja-JP"/>
    </w:rPr>
  </w:style>
  <w:style w:type="character" w:customStyle="1" w:styleId="77">
    <w:name w:val="char char char Char"/>
    <w:link w:val="36"/>
    <w:uiPriority w:val="0"/>
    <w:rPr>
      <w:rFonts w:ascii="Arial" w:hAnsi="Arial" w:eastAsia="宋体" w:cs="Times New Roman"/>
      <w:kern w:val="0"/>
      <w:sz w:val="24"/>
      <w:szCs w:val="28"/>
    </w:rPr>
  </w:style>
  <w:style w:type="character" w:customStyle="1" w:styleId="78">
    <w:name w:val="NO Char"/>
    <w:link w:val="35"/>
    <w:uiPriority w:val="0"/>
    <w:rPr>
      <w:rFonts w:ascii="Times New Roman" w:hAnsi="Times New Roman" w:eastAsia="Times New Roman"/>
      <w:lang w:val="en-GB"/>
    </w:rPr>
  </w:style>
  <w:style w:type="character" w:customStyle="1" w:styleId="79">
    <w:name w:val="c-icon"/>
    <w:basedOn w:val="21"/>
    <w:uiPriority w:val="0"/>
  </w:style>
  <w:style w:type="character" w:customStyle="1" w:styleId="80">
    <w:name w:val="正文1 Char"/>
    <w:link w:val="31"/>
    <w:uiPriority w:val="0"/>
    <w:rPr>
      <w:rFonts w:ascii="Times New Roman" w:hAnsi="Times New Roman" w:eastAsia="宋体" w:cs="Times New Roman"/>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434</Words>
  <Characters>2480</Characters>
  <Lines>20</Lines>
  <Paragraphs>5</Paragraphs>
  <TotalTime>2</TotalTime>
  <ScaleCrop>false</ScaleCrop>
  <LinksUpToDate>false</LinksUpToDate>
  <CharactersWithSpaces>2909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2020-08-07T13:35:22Z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